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391781" Type="http://schemas.openxmlformats.org/officeDocument/2006/relationships/officeDocument" Target="/word/document.xml" /><Relationship Id="coreR53391781" Type="http://schemas.openxmlformats.org/package/2006/relationships/metadata/core-properties" Target="/docProps/core.xml" /><Relationship Id="customR5339178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江苏省人民代表大会常务委员会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关于资源税具体适用税率等有关事项的决定</w:t>
      </w:r>
    </w:p>
    <w:p>
      <w:pPr>
        <w:pStyle w:val="P1"/>
        <w:ind w:firstLine="0"/>
        <w:jc w:val="center"/>
      </w:pPr>
      <w:r>
        <w:rPr>
          <w:rFonts w:ascii="方正姚体" w:hAnsi="方正姚体"/>
        </w:rPr>
        <w:t>（</w:t>
      </w:r>
      <w:r>
        <w:t>2020</w:t>
      </w:r>
      <w:r>
        <w:rPr>
          <w:rFonts w:ascii="方正姚体" w:hAnsi="方正姚体"/>
        </w:rPr>
        <w:t>年</w:t>
      </w:r>
      <w:r>
        <w:t>5</w:t>
      </w:r>
      <w:r>
        <w:rPr>
          <w:rFonts w:ascii="方正姚体" w:hAnsi="方正姚体"/>
        </w:rPr>
        <w:t>月</w:t>
      </w:r>
      <w:r>
        <w:t>15</w:t>
      </w:r>
      <w:r>
        <w:rPr>
          <w:rFonts w:ascii="方正姚体" w:hAnsi="方正姚体"/>
        </w:rPr>
        <w:t>日江苏省第十三届人民代表大会</w:t>
      </w:r>
    </w:p>
    <w:p>
      <w:pPr>
        <w:pStyle w:val="P1"/>
        <w:ind w:firstLine="0"/>
        <w:jc w:val="center"/>
      </w:pPr>
      <w:r>
        <w:rPr>
          <w:rFonts w:ascii="方正姚体" w:hAnsi="方正姚体"/>
        </w:rPr>
        <w:t>常务委员会第十六次会议通过）</w:t>
      </w:r>
    </w:p>
    <w:p>
      <w:pPr>
        <w:pStyle w:val="P1"/>
        <w:ind w:firstLine="0"/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为了促进资源节约集约利用、加强生态环境保护，根据《中华人民共和国资源税法》（以下简称《资源税法》）的授权规定，结合本省实际，对本省资源税有关事项决定如下：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一、</w:t>
      </w:r>
      <w:r>
        <w:rPr>
          <w:rStyle w:val="C3"/>
          <w:rFonts w:ascii="方正姚体" w:hAnsi="方正姚体"/>
        </w:rPr>
        <w:t>《资源税法》规定实行幅度税率的税目，具体适用税率按照《江苏省资源税税目税率表》执行。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二、</w:t>
      </w:r>
      <w:r>
        <w:rPr>
          <w:rStyle w:val="C3"/>
          <w:rFonts w:ascii="方正姚体" w:hAnsi="方正姚体"/>
        </w:rPr>
        <w:t>《资源税法》规定可以选择实行从价计征或者从量计征的税目中，石灰岩、其他粘土、砂石实行从价计征，地热、矿泉水实行从量计征。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三、</w:t>
      </w:r>
      <w:r>
        <w:rPr>
          <w:rStyle w:val="C3"/>
          <w:rFonts w:ascii="方正姚体" w:hAnsi="方正姚体"/>
        </w:rPr>
        <w:t>符合《资源税法》第七条规定情形的，按照以下办法减征或者免征资源税：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（一）开采或者生产应税产品过程中，因意外事故或者自然灾害等原因遭受重大损失的，按其损失金额的</w:t>
      </w:r>
      <w:r>
        <w:rPr>
          <w:rStyle w:val="C3"/>
          <w:rFonts w:ascii="Times New Roman" w:hAnsi="Times New Roman"/>
        </w:rPr>
        <w:t>50%</w:t>
      </w:r>
      <w:r>
        <w:rPr>
          <w:rStyle w:val="C3"/>
          <w:rFonts w:ascii="方正姚体" w:hAnsi="方正姚体"/>
        </w:rPr>
        <w:t>减征资源税，但减税额最高不超过其遭受重大损失当年的资源税应纳税额；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（二）开采共生矿，共生矿与主矿产品销售额分开核算的，对共生矿按其应纳税额的</w:t>
      </w:r>
      <w:r>
        <w:rPr>
          <w:rStyle w:val="C3"/>
          <w:rFonts w:ascii="Times New Roman" w:hAnsi="Times New Roman"/>
        </w:rPr>
        <w:t>10%</w:t>
      </w:r>
      <w:r>
        <w:rPr>
          <w:rStyle w:val="C3"/>
          <w:rFonts w:ascii="方正姚体" w:hAnsi="方正姚体"/>
        </w:rPr>
        <w:t>减征资源税；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（三）开采伴生矿，伴生矿与主矿产品销售额分开核算的，对伴生矿按其应纳税额的</w:t>
      </w:r>
      <w:r>
        <w:rPr>
          <w:rStyle w:val="C3"/>
          <w:rFonts w:ascii="Times New Roman" w:hAnsi="Times New Roman"/>
        </w:rPr>
        <w:t>30%</w:t>
      </w:r>
      <w:r>
        <w:rPr>
          <w:rStyle w:val="C3"/>
          <w:rFonts w:ascii="方正姚体" w:hAnsi="方正姚体"/>
        </w:rPr>
        <w:t>减征资源税；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（四）开采低品位矿，按其应纳税额的</w:t>
      </w:r>
      <w:r>
        <w:rPr>
          <w:rStyle w:val="C3"/>
          <w:rFonts w:ascii="Times New Roman" w:hAnsi="Times New Roman"/>
        </w:rPr>
        <w:t>50%</w:t>
      </w:r>
      <w:r>
        <w:rPr>
          <w:rStyle w:val="C3"/>
          <w:rFonts w:ascii="方正姚体" w:hAnsi="方正姚体"/>
        </w:rPr>
        <w:t>减征资源税；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（五）开采尾矿，免征资源税。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纳税人按照前款规定申报享受税收优惠政策，并将有关资料留存备查。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2020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附件：江苏省资源税税目税率表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20"/>
        <w:ind w:firstLine="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br w:type="page"/>
      </w:r>
      <w:r>
        <w:rPr>
          <w:rStyle w:val="C3"/>
          <w:rFonts w:ascii="方正姚体" w:hAnsi="方正姚体"/>
        </w:rPr>
        <w:t>附件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22"/>
        <w:tabs>
          <w:tab w:val="left" w:pos="9193" w:leader="none"/>
          <w:tab w:val="left" w:pos="9827" w:leader="none"/>
        </w:tabs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江苏省资源税税目税率表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tbl>
      <w:tblPr>
        <w:tblStyle w:val="T2"/>
        <w:jc w:val="center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Before w:w="0" w:type="dxa"/>
          <w:wAfter w:w="0" w:type="dxa"/>
          <w:trHeight w:hRule="atLeast" w:val="590"/>
        </w:trPr>
        <w:tc>
          <w:tcPr>
            <w:tcW w:w="5206" w:type="dxa"/>
            <w:gridSpan w:val="3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税目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征税对象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税率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能源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矿产</w:t>
            </w: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煤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  <w:trHeight w:hRule="atLeast" w:val="632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煤层气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油页岩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2 %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地热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10</w:t>
            </w:r>
            <w:r>
              <w:rPr>
                <w:rStyle w:val="C3"/>
                <w:rFonts w:ascii="方正姚体" w:hAnsi="方正姚体"/>
                <w:sz w:val="24"/>
              </w:rPr>
              <w:t>元／立方米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金属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矿产</w:t>
            </w: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黑色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金属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铁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锰、铬、钒、钛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有色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金属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铜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铅、锌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10%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锡、镍、镁、钴、铋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铝土矿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金、银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轻稀土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9.5%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锂、锆、锶、铷、铯、铌、钽、锗、镓、铟、铪、铼、镉、硒、碲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非金属矿产</w:t>
            </w: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物</w:t>
            </w:r>
          </w:p>
          <w:p>
            <w:pPr>
              <w:pStyle w:val="P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类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高岭土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石灰岩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磷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8%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石墨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7.5%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硫铁矿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萤石、自然硫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天然石英砂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7%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芒硝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固态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液态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10%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膨润土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陶瓷土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  <w:highlight w:val="yellow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10%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紫砂类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  <w:highlight w:val="yellow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8%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其他类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center"/>
              <w:rPr>
                <w:rStyle w:val="C3"/>
                <w:rFonts w:ascii="Times New Roman" w:hAnsi="Times New Roman"/>
                <w:sz w:val="24"/>
                <w:highlight w:val="yellow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耐火粘土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凹凸棒石粘土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8%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2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脉石英、粉石英、水晶、工业用金刚石、蓝晶石、长石、滑石、刚玉、菱镁矿、颜料矿物、天然碱、明矾石、砷、硼、硅藻土、海泡石粘土、伊利石粘土、累托石粘土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6.5%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非金属矿产</w:t>
            </w: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物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类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石膏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叶蜡石、硅灰石、透辉石、珍珠岩、云母、沸石、重晶石、方解石、蛭石、透闪石、工业用电气石、白垩、石棉、红柱石、石榴子石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7%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spacing w:lineRule="exact" w:line="400"/>
              <w:ind w:firstLine="48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nil" w:sz="0" w:space="0" w:shadow="0" w:frame="0" w:color="00000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岩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石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类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石英岩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7%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玄武岩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蛇纹岩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36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大理岩、花岗岩、白云岩、砂岩、辉绿岩、安山岩、闪长岩、板岩、片麻岩、角闪岩、页岩、浮石、凝灰岩、霞石正长岩、麦饭石、泥灰岩、含钾岩石、含钾砂页岩、橄榄岩、松脂岩、粗面岩、火山渣、泥炭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5.5%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砂石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nil" w:sz="0" w:space="0" w:shadow="0" w:frame="0" w:color="00000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宝玉石类</w:t>
            </w: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宝石、玛瑙、黄玉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12%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nil" w:sz="0" w:space="0" w:shadow="0" w:frame="0" w:color="00000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3602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9.5%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水气</w:t>
            </w:r>
          </w:p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矿产</w:t>
            </w: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二氧化碳气、氦气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3.5%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矿泉水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原矿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10</w:t>
            </w:r>
            <w:r>
              <w:rPr>
                <w:rStyle w:val="C3"/>
                <w:rFonts w:ascii="方正姚体" w:hAnsi="方正姚体"/>
                <w:sz w:val="24"/>
              </w:rPr>
              <w:t>元／立方米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盐</w:t>
            </w: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钠盐</w:t>
            </w: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固态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831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液态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12%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钾盐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选矿</w:t>
            </w: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9%</w:t>
            </w:r>
          </w:p>
        </w:tc>
      </w:tr>
      <w:tr>
        <w:trPr>
          <w:wBefore w:w="0" w:type="dxa"/>
          <w:wAfter w:w="0" w:type="dxa"/>
        </w:trPr>
        <w:tc>
          <w:tcPr>
            <w:tcW w:w="874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left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4332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方正姚体" w:hAnsi="方正姚体"/>
                <w:sz w:val="24"/>
              </w:rPr>
              <w:t>海盐</w:t>
            </w:r>
          </w:p>
        </w:tc>
        <w:tc>
          <w:tcPr>
            <w:tcW w:w="1849" w:type="dxa"/>
            <w:gridSpan w:val="2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</w:p>
        </w:tc>
        <w:tc>
          <w:tcPr>
            <w:tcW w:w="2005" w:type="dxa"/>
            <w:tcBorders>
              <w:top w:val="single" w:sz="1" w:space="0" w:shadow="0" w:frame="0"/>
              <w:left w:val="single" w:sz="1" w:space="0" w:shadow="0" w:frame="0"/>
              <w:bottom w:val="single" w:sz="1" w:space="0" w:shadow="0" w:frame="0"/>
              <w:right w:val="single" w:sz="1" w:space="0" w:shadow="0" w:frame="0"/>
            </w:tcBorders>
          </w:tcPr>
          <w:p>
            <w:pPr>
              <w:pStyle w:val="P1"/>
              <w:widowControl w:val="1"/>
              <w:spacing w:lineRule="exact" w:line="400"/>
              <w:ind w:firstLine="0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3%</w:t>
            </w:r>
          </w:p>
        </w:tc>
      </w:tr>
    </w:tbl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spacing w:lineRule="exact" w:line="580"/>
        <w:ind w:firstLine="880"/>
        <w:rPr>
          <w:rStyle w:val="C3"/>
          <w:rFonts w:ascii="Times New Roman" w:hAnsi="Times New Roman"/>
          <w:sz w:val="44"/>
        </w:rPr>
      </w:pPr>
    </w:p>
    <w:p>
      <w:pPr>
        <w:pStyle w:val="P1"/>
        <w:spacing w:lineRule="exact" w:line="580"/>
        <w:ind w:firstLine="880"/>
        <w:rPr>
          <w:rStyle w:val="C3"/>
          <w:rFonts w:ascii="Times New Roman" w:hAnsi="Times New Roman"/>
          <w:sz w:val="44"/>
        </w:rPr>
      </w:pPr>
    </w:p>
    <w:p>
      <w:pPr>
        <w:pStyle w:val="P1"/>
        <w:spacing w:lineRule="exact" w:line="580"/>
        <w:ind w:firstLine="880"/>
        <w:rPr>
          <w:rStyle w:val="C3"/>
          <w:rFonts w:ascii="Times New Roman" w:hAnsi="Times New Roman"/>
          <w:sz w:val="44"/>
        </w:rPr>
      </w:pPr>
    </w:p>
    <w:p>
      <w:pPr>
        <w:pStyle w:val="P1"/>
        <w:spacing w:lineRule="exact" w:line="580"/>
        <w:ind w:firstLine="880"/>
        <w:rPr>
          <w:rStyle w:val="C3"/>
          <w:rFonts w:ascii="Times New Roman" w:hAnsi="Times New Roman"/>
          <w:sz w:val="44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5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6">
    <w:name w:val="正文文本缩进 3"/>
    <w:basedOn w:val="P1"/>
    <w:next w:val="P6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7">
    <w:name w:val="页眉"/>
    <w:basedOn w:val="P1"/>
    <w:next w:val="P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8">
    <w:name w:val="正文文本缩进 2"/>
    <w:basedOn w:val="P1"/>
    <w:next w:val="P8"/>
    <w:pPr>
      <w:spacing w:lineRule="atLeast" w:line="567"/>
      <w:ind w:hanging="1120" w:left="1120"/>
    </w:pPr>
    <w:rPr>
      <w:sz w:val="28"/>
    </w:rPr>
  </w:style>
  <w:style w:type="paragraph" w:styleId="P9">
    <w:name w:val="普通(网站)"/>
    <w:basedOn w:val="P1"/>
    <w:next w:val="P9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0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1">
    <w:name w:val="正文文本缩进"/>
    <w:basedOn w:val="P1"/>
    <w:next w:val="P11"/>
    <w:pPr>
      <w:spacing w:lineRule="exact" w:line="500"/>
      <w:ind w:firstLine="630"/>
    </w:pPr>
    <w:rPr>
      <w:rFonts w:ascii="仿宋_GB2312" w:hAnsi="仿宋_GB2312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纯文本"/>
    <w:basedOn w:val="P1"/>
    <w:next w:val="P13"/>
    <w:link w:val="C7"/>
    <w:pPr>
      <w:spacing w:lineRule="auto" w:line="240"/>
      <w:ind w:firstLine="0"/>
    </w:pPr>
    <w:rPr>
      <w:rFonts w:ascii="宋体" w:hAnsi="宋体"/>
      <w:sz w:val="21"/>
    </w:rPr>
  </w:style>
  <w:style w:type="paragraph" w:styleId="P14">
    <w:name w:val="页脚"/>
    <w:basedOn w:val="P1"/>
    <w:next w:val="P14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5">
    <w:name w:val="msonormalcxspmiddle"/>
    <w:basedOn w:val="P1"/>
    <w:next w:val="P1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6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17">
    <w:name w:val="msonormal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_Style 7"/>
    <w:basedOn w:val="P1"/>
    <w:next w:val="P18"/>
    <w:pPr>
      <w:widowControl w:val="1"/>
      <w:spacing w:lineRule="exact" w:line="240" w:after="160"/>
      <w:jc w:val="left"/>
    </w:pPr>
    <w:rPr/>
  </w:style>
  <w:style w:type="paragraph" w:styleId="P19">
    <w:name w:val="msoplaintextcxsplast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标题3"/>
    <w:basedOn w:val="P1"/>
    <w:next w:val="P1"/>
    <w:pPr/>
    <w:rPr>
      <w:rFonts w:ascii="方正黑体简体" w:hAnsi="方正黑体简体"/>
    </w:rPr>
  </w:style>
  <w:style w:type="paragraph" w:styleId="P21">
    <w:name w:val="样式 样式 样式 样式 样式 样式 样式 样式 样式 文头 + 段前: 5 行 段后: 1 行 + 首行缩进:  0.63 厘米...3"/>
    <w:basedOn w:val="P1"/>
    <w:next w:val="P21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2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3">
    <w:name w:val="抄送栏"/>
    <w:basedOn w:val="P1"/>
    <w:next w:val="P23"/>
    <w:pPr>
      <w:ind w:hanging="953" w:left="953"/>
    </w:pPr>
    <w:rPr/>
  </w:style>
  <w:style w:type="paragraph" w:styleId="P24">
    <w:name w:val="列出段落"/>
    <w:basedOn w:val="P1"/>
    <w:next w:val="P24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5">
    <w:name w:val="标题5"/>
    <w:basedOn w:val="P1"/>
    <w:next w:val="P1"/>
    <w:pPr/>
    <w:rPr>
      <w:rFonts w:ascii="方正楷体简体" w:hAnsi="方正楷体简体"/>
    </w:rPr>
  </w:style>
  <w:style w:type="paragraph" w:styleId="P26">
    <w:name w:val="p0"/>
    <w:basedOn w:val="P1"/>
    <w:next w:val="P26"/>
    <w:pPr>
      <w:widowControl w:val="1"/>
    </w:pPr>
    <w:rPr>
      <w:rFonts w:ascii="Calibri" w:hAnsi="Calibri"/>
    </w:rPr>
  </w:style>
  <w:style w:type="paragraph" w:styleId="P27">
    <w:name w:val="样式 样式 样式 文号 + 段后: 1 行 + 段后: 0.5 行 + 段后: 1 行1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8">
    <w:name w:val="msoplaintextcxspmiddle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标题4"/>
    <w:basedOn w:val="P20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要点"/>
    <w:basedOn w:val="C3"/>
    <w:qFormat/>
    <w:rPr>
      <w:b w:val="1"/>
    </w:rPr>
  </w:style>
  <w:style w:type="character" w:styleId="C6">
    <w:name w:val="页码"/>
    <w:basedOn w:val="C3"/>
    <w:rPr/>
  </w:style>
  <w:style w:type="character" w:styleId="C7">
    <w:name w:val=" Char Char"/>
    <w:basedOn w:val="C3"/>
    <w:link w:val="P13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2019-01-24T02:05:00Z</dcterms:created>
  <cp:lastModifiedBy>f1TZOF\f1TZOF-</cp:lastModifiedBy>
  <cp:lastPrinted>2018-06-27T06:51:00Z</cp:lastPrinted>
  <dcterms:modified xsi:type="dcterms:W3CDTF">2024-08-28T01:35:19Z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2052-10.1.0.7698</vt:lpwstr>
  </property>
</Properties>
</file>