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D47C59" Type="http://schemas.openxmlformats.org/officeDocument/2006/relationships/officeDocument" Target="/word/document.xml" /><Relationship Id="coreR48D47C59" Type="http://schemas.openxmlformats.org/package/2006/relationships/metadata/core-properties" Target="/docProps/core.xml" /><Relationship Id="customR48D47C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内蒙古自治区煤炭管理条例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日内蒙古自治区第十三届人民代表大会常务委员会第三十八次会议通过）</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为了合理开发利用和保护煤炭资源，规范煤炭生产、经营、清洁高效利用及相关活动，促进和保障煤炭产业高质量发展，根据《中华人民共和国煤炭法》等国家有关法律、法规，结合自治区实际，制定本条例。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在自治区行政区域内从事煤炭生产、经营、清洁高效利用及相关监督管理活动，适用本条例。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煤炭开发利用和资源保护应当完整、准确、全面贯彻新发展理念，坚定不移走以生态优先、绿色发展为导向的高质量发展新路子，提升和强化国家重要能源和战略资源基地的地位，服务和保障国家能源安全，加快传统煤炭产业转型升级，延伸煤炭产业链条，提高煤炭清洁高效利用水平，推动自治区能源经济高质量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煤炭开发利用应当统筹能源安全和低碳转型，坚持科学规划、保护生态环境，节约集约、保障供应，安全高效、综合利用的原则。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禁止任何乱采、滥挖破坏煤炭资源的行为。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旗县级以上人民政府应当加强对煤炭监督管理工作的领导，建立健全工作协调机制，督促有关部门履行监督管理职责，解决工作中存在的重要问题。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旗县级以上人民政府煤炭管理部门负责本行政区域内煤炭行业的监督管理。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旗县级以上人民政府发展改革部门负责本行政区域内煤炭清洁高效利用的监督管理。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工业和信息化、自然资源、生态环境、财政、应急管理、科学技术、市场监督管理、林业和草原等部门，在各自职责范围内依法履行本行政区域内煤炭生产、经营、清洁高效利用监督管理职责。</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煤炭规划与煤矿建设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自治区人民政府煤炭管理部门根据全国矿产资源规划规定的煤炭资源，组织编制和实施煤炭发展规划，指导编制和组织实施煤炭矿区总体规划。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盟行政公署、设区的市人民政府煤炭管理部门负责编制煤炭矿区总体规划。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煤炭发展规划是指导全区煤炭产业发展的基本依据，包括指导思想、发展目标、开发时序、重点任务和保障措施等。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煤炭矿区总体规划是确定煤炭开发布局、煤矿建设项目核准和建设的基本依据，包括矿区边界、井（矿）田划分、建设规模、配套设施等。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煤炭发展规划、煤炭矿区总体规划应当定期组织评估，适时修编调整。煤炭矿区总体规划应当与矿产资源规划相互衔接。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煤炭发展规划、煤炭矿区总体规划应当符合</w:t>
      </w:r>
      <w:r>
        <w:rPr>
          <w:rStyle w:val="C3"/>
          <w:rFonts w:ascii="仿宋_GB2312" w:hAnsi="仿宋_GB2312"/>
          <w:sz w:val="32"/>
        </w:rPr>
        <w:t>“</w:t>
      </w:r>
      <w:r>
        <w:rPr>
          <w:rStyle w:val="C3"/>
          <w:rFonts w:ascii="Microsoft YaHei UI" w:hAnsi="Microsoft YaHei UI"/>
          <w:sz w:val="32"/>
        </w:rPr>
        <w:t>三区三线</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三线一单</w:t>
      </w:r>
      <w:r>
        <w:rPr>
          <w:rStyle w:val="C3"/>
          <w:rFonts w:ascii="仿宋_GB2312" w:hAnsi="仿宋_GB2312"/>
          <w:sz w:val="32"/>
        </w:rPr>
        <w:t>”</w:t>
      </w:r>
      <w:r>
        <w:rPr>
          <w:rStyle w:val="C3"/>
          <w:rFonts w:ascii="Microsoft YaHei UI" w:hAnsi="Microsoft YaHei UI"/>
          <w:sz w:val="32"/>
        </w:rPr>
        <w:t>、草原林地等用途管控要求，严格控制在管控区域内布局煤炭开发。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禁止在生态保护红线内草原区规划煤炭开发项目。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严格控制在生态保护红线外草原区规划建设新的煤炭开发项目、扩大露天开采区域，确有特殊需要的，由自治区人民政府依照国家和自治区有关规定审批。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具备井工开采条件的矿区，严格控制露天开采煤炭。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支持不宜单独设置矿业权的边角煤炭资源纳入矿产资源规划、煤炭矿区总体规划，与邻近煤矿统一开采。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煤炭矿业权出让应当符合煤炭发展规划、矿产资源规划、煤炭矿区总体规划等。除国家规定的协议出让情形外，煤炭矿业权应当通过招标、拍卖、挂牌等竞争性方式出让。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自治区人民政府应当根据煤炭发展需要情况，建立动力煤、化工原料用煤等煤炭矿业权分类出让制度。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煤矿建设项目应当符合煤炭发展规划、煤炭矿区总体规划和煤炭产业政策，开工前应当取得项目批复、采矿许可、建设用地、初步设计、安全设施设计、环境影响评价、节能评估、水土保持方案等文件。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严禁煤矿建设项目未批准先建设。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煤矿建设项目安全设施、生态环境保护设施应当与主体工程同时设计、同时施工、同时验收、同时投入使用。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新建煤矿应当按照绿色矿山标准进行规划、设计、建设和运营管理；已建成的煤矿应当通过升级改造，限期达到绿色矿山建设标准。达到标准的煤矿按照相关规定纳入绿色矿山名录。</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煤炭生产与煤矿安全</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煤矿投入生产前应当通过竣工验收。开采煤炭资源应当符合国家相关规程规范，遵守合理的开采顺序，达到规定的煤炭资源回采率。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鼓励采用保水开采、充填开采等绿色开采技术，支持开采边角残煤、极薄煤。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煤炭生产应当依法在批准的开采范围内进行，不得超越批准的开采范围越界、越层开采；不得以灭火工程为名，盗采煤炭资源。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自治区鼓励在煤炭生产、经营、管理中推广应用先进技术和装备，推动智能化技术与煤炭产业融合发展，提升煤矿智能化水平。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新建煤矿应当按照智能化煤矿标准进行设计、建设；已建成的煤矿应当通过升级改造，限期达到智能化煤矿标准。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煤矿企业应当优化生产系统，提升煤炭供应保障能力。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自治区人民政府应当加强煤矿应急储备产能管理，健全完善相关制度规范。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煤矿企业、煤炭用户应当落实煤炭储备能力要求。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旗县级以上人民政府煤炭管理部门及其他负有安全生产管理职责的部门应当依法履行煤炭安全生产监督管理职责。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旗县级以上人民政府应当组织有关部门制定煤矿生产安全事故应急救援预案，建立应急救援体系，并定期组织演练。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应急管理部门和煤炭管理等部门应当按照各自职责，组织、指导和协调煤矿应急救援工作。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旗县级以上人民政府应当加强煤炭管理信息化、智能化建设，推进煤矿安全生产信息平台建设，将气象、水行政、自然资源、煤炭管理、应急管理等部门以及煤矿企业纳入信息共享平台，建立安全生产预警协调联动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煤矿企业应当落实安全生产主体责任，健全安全生产责任制监督考核和激励机制。实行多层级管理的，应当明确各层级安全生产责任，做到决策权与决策责任相统一。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煤矿企业应当加强安全生产标准化、信息化、智能化建设，构建安全风险分级管控和隐患排查治理双重预防机制，建立安全风险监测预警系统，提高安全生产水平。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鼓励煤矿企业取消夜班生产作业。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煤矿企业应当遵守国家职业病防治有关规定，做好尘肺病等职业病的防治工作，为职工提供职业病防治、保障安全生产所需的劳动防护用品；定期对工作场所进行职业病危害因素检测、评价，检测、评价结果存入生产经营单位职业卫生档案，定期向卫生健康部门报告并向从业人员公布；对从事、接触职业病危害作业的劳动者应当按照有关规定组织上岗前、在岗期间和离岗时的职业健康检查，检查费用由煤矿企业承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任何组织或者个人不得危害煤矿矿区的电力、通信、水源、交通及其他生产设施，不得扰乱煤矿企业的生产秩序和工作秩序。</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煤炭清洁高效利用</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区鼓励煤炭清洁高效利用，加快煤炭和煤电、煤化工一体化发展，提高煤炭就地转化率和精深加工度，延伸产业链条。以煤炭清洁高效利用为重点，高质量发展煤化工、氯碱化工、精细化工、煤基新材料、氢能源等产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鼓励煤化工企业实施技术攻关和示范，发展煤基特种燃料、煤基生物可降解材料等；煤焦化企业向下游延伸产业，发展精细化产品。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鼓励具备条件的企业开展二氧化碳捕集、利用与封存的技术研发、全流程示范和产业化应用。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自治区推进煤炭清洁高效利用循环发展体系建设，鼓励煤化工项目向工业园区集中。工业园区应当统筹用水、能耗等要素发展煤基产业，按照再利用、资源化的原则支持项目建设。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自治区鼓励煤炭资源开发利用领域的科学技术研究与应用，开展基础理论研究和关键技术研发，培养专业技术人才。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鼓励企业加大研究开发投入力度，联合科研机构、高等院校在以下领域开展基础研究、科技创新，推动先进技术和产品的示范与应用、推广，促进产业化发展：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（一）煤炭高效燃烧发电、新型煤化工、洁净燃煤、生物固碳和化学固碳；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（二）煤共伴生资源、煤矸石、煤层气（煤矿瓦斯）、煤泥、矿井（坑）水、疏干水等利用；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（三）粉煤灰利用、粉煤灰提取氧化铝等；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（四）煤矿自动化、数字化、智能化升级改造等；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（五）煤矿重大灾害防治以及煤炭绿色开采、矿区生态环境保护等。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研究开发费用按照国家有关规定进行会计核算。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旗县级以上人民政府应当将本条例第二十七条规定的研究开发项目和产业发展列入科技发展规划，并安排财政性资金予以支持。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电力、化工、建材等重点用煤企业应当在有利于节约资源、保护生态环境的前提下，按照减量化优先的原则实施清洁低碳改造。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煤炭生产、加工、储运、销售、燃用企业应当执行商品煤质量标准。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禁止进口、销售和燃用不符合质量标准的煤炭。</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生态环境保护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煤矿企业应当按照批准的环境影响评价文件、矿山地质环境保护与土地复垦方案、水土保持方案等，保护和治理恢复地质环境，落实煤矿生态环境保护措施和责任。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煤矿企业生产作业应当保护生态、节约用地，不得非法占用草原、林地、耕地和湿地等，减轻煤炭开发利用对生态环境的影响。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煤炭开采应当严格保护水资源，落实矿区地下水保护措施，提升矿井（坑）水综合利用水平。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煤炭开采压占土地或者造成地表土地塌陷、挖损的，由采矿者负责进行复垦，恢复到可供利用的状态；造成他人损失的，应当依法给予补偿。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露天煤矿应当加强生态环境保护，及时对排土场进行固化或者覆土绿化</w:t>
      </w:r>
      <w:r>
        <w:rPr>
          <w:rStyle w:val="C3"/>
          <w:rFonts w:ascii="仿宋_GB2312" w:hAnsi="仿宋_GB2312"/>
          <w:sz w:val="32"/>
        </w:rPr>
        <w:t>,</w:t>
      </w:r>
      <w:r>
        <w:rPr>
          <w:rStyle w:val="C3"/>
          <w:rFonts w:ascii="Microsoft YaHei UI" w:hAnsi="Microsoft YaHei UI"/>
          <w:sz w:val="32"/>
        </w:rPr>
        <w:t>配备并使用洒水车、高压雾炮等洒水抑尘设备，防止扬尘等污染。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运输煤炭车辆应当采取密闭或者严密加盖篷布、喷洒表面凝结剂等抑尘措施，防止污染生态环境。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煤矿企业负责采矿权范围内着火点灭火工作，旗县级人民政府负责未设置煤炭采矿权范围内着火点灭火工作。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煤矿企业停办或者关闭矿山、报废矿井前，应当按期完成矿山地质环境恢复和地质灾害治理，并接受所在地旗县级人民政府自然资源管理部门的监督检查。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煤矿企业应当按照规定计提矿山地质环境治理恢复基金，专项用于地质环境治理恢复。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旗县级人民政府应当加强矿区生态环境综合治理工作，组织煤矿企业开展矿区生态环境集中连片治理。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鼓励煤炭企业通过生态建设、工业固碳以及碳捕获、利用与封存等工程技术，实现减污降碳协同增效。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鼓励利用煤矿企业采矿权内土地、已关闭煤矿复垦达标土地、已关闭煤矿设施建设可再生能源发电、地热能、现代农业、文化旅游等产业。</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监督管理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旗县级以上人民政府煤炭管理部门、发展改革等有关部门应当按照职责分工，对煤炭规划实施、勘查与开采、生产建设秩序、生态环境保护、市场秩序、煤矿安全生产、煤炭清洁高效利用等情况进行监督检查。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自治区人民政府煤炭管理部门应当建立煤矿企业信息综合管理平台，实现信息归集、建档、共享和应用，推动煤炭行业管理信息化建设。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旗县级以上人民政府煤炭管理部门、发展改革等有关部门依法开展监督检查工作，监督检查人员进行监督检查，可以采取以下措施：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（一）进入被检查单位的生产经营场所以及其他有关场所进行检查，调阅、收集有关资料；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（二）向有关单位或者人员调查了解相关情况；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（三）对可能被转移、隐匿或者损毁的文件、资料、账簿、电子设备等予以扣押或者封存；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（四）对检查中发现的违法行为，当场予以纠正或者要求限期改正；对依法应当给予行政处罚的行为，依法作出行政处罚决定。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监督检查可以采取现场监督检查或者非现场监督检查。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发现存在应当由其他部门处理的违法行为，应当及时移送有关部门处理。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煤矿安全生产监督管理部门应当按照分类分级的原则编制煤矿安全生产年度监管执法计划，并按照计划进行监督检查。监督检查时应当编制现场检查工作方案。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煤矿安全生产年度监管执法计划应当报本级人民政府批准后实施。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自治区人民政府煤炭管理部门和有关部门应当按照有关规定建立煤炭企业信用制度，将相关信用记录纳入信用信息平台。</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第七章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违反本条例规定的行为，《中华人民共和国煤炭法》等国家有关法律、法规已经作出具体处罚规定的，从其规定。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违反本条例规定，煤矿建设项目不符合煤炭发展规划、煤炭矿区总体规划和煤炭产业政策，或者未批准先建设的，由旗县级以上人民政府煤炭管理部门责令停产停业。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违反本条例规定，煤矿建设项目安全设施、生态环境保护设施未与主体工程同时设计、同时施工、同时验收、同时投入使用的，由旗县级以上人民政府煤炭管理部门或者生态环境部门责令停产停业。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违反本条例规定，煤矿企业未按照规定建设绿色矿山，或者未达到绿色矿山建设标准逾期未整改的，由旗县级以上人民政府自然资源管理部门责令停产停业。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煤矿企业未履行土地复垦义务的，由旗县级以上人民政府自然资源管理部门责令限期改正；逾期不改正的，责令缴纳土地复垦费，专项用于土地复垦，并处应缴纳土地复垦费一倍以上二倍以下的罚款，由颁发采矿许可证的机关吊销采矿许可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违反本条例规定，煤矿企业未建立安全生产责任制监督考核和激励机制的，由旗县级以上人民政府煤炭管理部门责令限期改正，处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万元以下的罚款；逾期未改正的，责令停产停业，并处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万元以下的罚款，对直接负责的主管人员和其他直接责任人员处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煤炭管理部门和其他负有监督管理职责部门的工作人员滥用职权、玩忽职守、徇私舞弊的，对直接负责的主管人员和其他直接责任人员依法给予处分；构成犯罪的，依法追究刑事责任。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第八章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2022-12-19T08:16:00Z</dcterms:created>
  <cp:lastModifiedBy>f1TZOF\f1TZOF-</cp:lastModifiedBy>
  <cp:lastPrinted>2022-12-19T06:57:00Z</cp:lastPrinted>
  <dcterms:modified xsi:type="dcterms:W3CDTF">2024-08-28T01:35:21Z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