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55F9FE" Type="http://schemas.openxmlformats.org/officeDocument/2006/relationships/officeDocument" Target="/word/document.xml" /><Relationship Id="coreR2555F9F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内蒙古自治区呼伦湖国家级自然保护区条例</w:t>
      </w: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日内蒙古自治区第十二届人民代表大会常务委员会第二十四次会议通过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日内蒙古自治区第十三届人民代表大会常务委员会第六次会议《关于修改〈内蒙古自治区农牧业机械化促进条例〉等</w:t>
      </w:r>
      <w:r>
        <w:rPr>
          <w:rStyle w:val="C3"/>
          <w:rFonts w:ascii="楷体_GB2312" w:hAnsi="楷体_GB2312"/>
          <w:sz w:val="32"/>
        </w:rPr>
        <w:t>7</w:t>
      </w:r>
      <w:r>
        <w:rPr>
          <w:rStyle w:val="C3"/>
          <w:rFonts w:ascii="Microsoft YaHei UI" w:hAnsi="Microsoft YaHei UI"/>
          <w:sz w:val="32"/>
        </w:rPr>
        <w:t>件地方性法规的决定》修正）</w:t>
      </w:r>
    </w:p>
    <w:p>
      <w:pPr>
        <w:pStyle w:val="P1"/>
        <w:spacing w:lineRule="exact" w:line="580"/>
        <w:ind w:firstLine="632"/>
        <w:rPr>
          <w:rStyle w:val="C3"/>
          <w:rFonts w:ascii="楷体_GB2312" w:hAnsi="楷体_GB2312"/>
          <w:sz w:val="32"/>
        </w:rPr>
      </w:pPr>
    </w:p>
    <w:p>
      <w:pPr>
        <w:pStyle w:val="P1"/>
        <w:spacing w:lineRule="exact" w:line="580"/>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第一章　总　则</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第二章　规划与保护</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第三章　利用与管理</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第四章　法律责任</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第五章　附　则</w:t>
      </w:r>
    </w:p>
    <w:p>
      <w:pPr>
        <w:pStyle w:val="P1"/>
        <w:spacing w:lineRule="exact" w:line="580"/>
        <w:ind w:left="420" w:right="420"/>
        <w:rPr>
          <w:rStyle w:val="C3"/>
          <w:rFonts w:ascii="楷体_GB2312" w:hAnsi="楷体_GB2312"/>
          <w:sz w:val="32"/>
        </w:rPr>
      </w:pPr>
    </w:p>
    <w:p>
      <w:pPr>
        <w:pStyle w:val="P1"/>
        <w:spacing w:lineRule="exact" w:line="580" w:after="156"/>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呼伦湖国家级自然保护区（以下简称保护区）的保护和管理，维护其生态功能和生物多样性，促进经济社会协调发展，根据《中华人民共和国环境保护法》《中华人民共和国自然保护区条例》和国家有关法律、法规，结合保护区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保护区位于呼伦贝尔市新巴尔虎右旗、新巴尔虎左旗、满洲里市和扎赉诺尔区境内，属于野生动物类型、湿地生态系统类型、草原生态系统类型的综合型自然保护区。保护区面积、界线以国务院批准的面积、界线为准。</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在保护区内从事规划、保护、建设、利用、管理等活动，应当遵守本条例。</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保护区的管理应当坚持保护优先、科学规划、合理利用、永续发展的原则，妥善处理生态环境保护与当地经济社会发展以及居民生产生活的关系。</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人民政府、呼伦贝尔市人民政府以及保护区所在地旗县级人民政府应当将保护区的规划、建设和保护纳入国民经济和社会发展规划，建立保护投入和生态补偿的长效机制。保护区的建设、保护和管理所需经费，由保护区所在地旗县级以上人民政府安排。</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自治区人民政府应当加强对保护区工作的领导，呼伦贝尔市人民政府负责保护区的保护和管理工作，协调解决保护区关于自然环境保护、生态建设、流域治理与经济社会发展等方面的重大事项。</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呼伦贝尔市人民政府所属的保护区管理机构负责保护区保护和管理的具体工作。保护区管理机构的主要职责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（一）贯彻执行国家和自治区有关法律、法规、规章和方针、政策；</w:t>
      </w:r>
    </w:p>
    <w:p>
      <w:pPr>
        <w:pStyle w:val="P1"/>
        <w:spacing w:lineRule="exact" w:line="580"/>
        <w:ind w:firstLine="640"/>
        <w:rPr>
          <w:rStyle w:val="C3"/>
          <w:rFonts w:ascii="仿宋_GB2312" w:hAnsi="仿宋_GB2312"/>
          <w:sz w:val="32"/>
        </w:rPr>
      </w:pPr>
      <w:r>
        <w:rPr>
          <w:rStyle w:val="C3"/>
          <w:rFonts w:ascii="Microsoft YaHei UI" w:hAnsi="Microsoft YaHei UI"/>
          <w:sz w:val="32"/>
        </w:rPr>
        <w:t>（二）负责组织保护区总体规划和专项规划的编制、修订和实施工作，制定和实施各项管理制度；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（三）负责保护区内自然环境、自然资源的保护和管理工作；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（四）组织开展资源调查、生态保护建设和环境监测工作，协调开展野生动植物保护、繁育和疫源疫病防治工作；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（五）组织开展科学研究和宣传教育活动；</w:t>
      </w:r>
    </w:p>
    <w:p>
      <w:pPr>
        <w:pStyle w:val="P1"/>
        <w:spacing w:lineRule="exact" w:line="580"/>
        <w:ind w:firstLine="640"/>
        <w:rPr>
          <w:rStyle w:val="C3"/>
          <w:rFonts w:ascii="仿宋_GB2312" w:hAnsi="仿宋_GB2312"/>
          <w:sz w:val="32"/>
        </w:rPr>
      </w:pPr>
      <w:r>
        <w:rPr>
          <w:rStyle w:val="C3"/>
          <w:rFonts w:ascii="Microsoft YaHei UI" w:hAnsi="Microsoft YaHei UI"/>
          <w:sz w:val="32"/>
        </w:rPr>
        <w:t>（六）在不影响保护区的自然环境和自然资源的前提下，按照保护区总体规划，组织开展参观、旅游等活动；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（七）组织开展保护区的国内、国际合作；</w:t>
      </w:r>
    </w:p>
    <w:p>
      <w:pPr>
        <w:pStyle w:val="P1"/>
        <w:spacing w:lineRule="exact" w:line="580"/>
        <w:ind w:firstLine="640"/>
        <w:rPr>
          <w:rStyle w:val="C3"/>
          <w:rFonts w:ascii="仿宋_GB2312" w:hAnsi="仿宋_GB2312"/>
          <w:sz w:val="32"/>
        </w:rPr>
      </w:pPr>
      <w:r>
        <w:rPr>
          <w:rStyle w:val="C3"/>
          <w:rFonts w:ascii="Microsoft YaHei UI" w:hAnsi="Microsoft YaHei UI"/>
          <w:sz w:val="32"/>
        </w:rPr>
        <w:t>（八）依法统一查处保护区内涉及保护区的建设、保护和管理方面的违法行为；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（九）保护区的其他管理工作。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保护区所在地旗县级以上人民政府环境保护、林业、公安、水利、农牧业、旅游、国土资源、交通运输、住房和城乡建设等部门应当按照各自职责，做好保护区相关管理工作。</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自治区鼓励社会力量投资或者以其他方式参与保护区的建设和保护。</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任何单位和个人都有保护保护区自然环境和自然资源的义务，并有权对破坏、侵占自然环境、自然资源的行为进行举报。</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保护区所在地旗县级以上人民政府对在保护区建设、保护和管理以及科学研究中做出显著成绩的单位和个人，应当给予表彰和奖励。</w:t>
      </w:r>
    </w:p>
    <w:p>
      <w:pPr>
        <w:pStyle w:val="P1"/>
        <w:spacing w:lineRule="exact" w:line="580" w:before="156" w:after="156"/>
        <w:jc w:val="center"/>
        <w:rPr>
          <w:rStyle w:val="C3"/>
          <w:rFonts w:ascii="黑体" w:hAnsi="黑体"/>
          <w:sz w:val="32"/>
        </w:rPr>
      </w:pPr>
      <w:r>
        <w:rPr>
          <w:rStyle w:val="C3"/>
          <w:rFonts w:ascii="黑体" w:hAnsi="黑体"/>
          <w:sz w:val="32"/>
        </w:rPr>
        <w:t>第二章　规划与保护</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保护区管理机构应当会同同级人民政府有关部门编制保护区总体规划，按照国家规定的程序报批。</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经批准的保护区总体规划应当严格执行，任何单位和个人不得擅自变更；确需变更的，应当按照原批准程序报批。</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保护区管理机构应当根据国务院批准的保护区的范围和界线，设置保护区区界标志和功能区区界标志，并向社会公布。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未经原审批机关批准，任何单位和个人不得改变保护区的性质以及区界范围。</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任何单位和个人不得破坏或者擅自移动保护区的界标以及其他保护设施。</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保护区划分为核心区、缓冲区和实验区，其范围、界线以国务院批准的为准。</w:t>
      </w:r>
    </w:p>
    <w:p>
      <w:pPr>
        <w:pStyle w:val="P1"/>
        <w:spacing w:lineRule="exact" w:line="580"/>
        <w:ind w:firstLine="640"/>
        <w:rPr>
          <w:rStyle w:val="C3"/>
          <w:rFonts w:ascii="仿宋_GB2312" w:hAnsi="仿宋_GB2312"/>
          <w:sz w:val="32"/>
        </w:rPr>
      </w:pPr>
      <w:r>
        <w:rPr>
          <w:rStyle w:val="C3"/>
          <w:rFonts w:ascii="Microsoft YaHei UI" w:hAnsi="Microsoft YaHei UI"/>
          <w:sz w:val="32"/>
        </w:rPr>
        <w:t>核心区为保存完好的天然状态的生态系统以及珍稀、濒危动植物的集中分布地，任何单位和个人不得擅自进入核心区。</w:t>
      </w:r>
    </w:p>
    <w:p>
      <w:pPr>
        <w:pStyle w:val="P1"/>
        <w:spacing w:lineRule="exact" w:line="580"/>
        <w:ind w:firstLine="640"/>
        <w:rPr>
          <w:rStyle w:val="C3"/>
          <w:rFonts w:ascii="仿宋_GB2312" w:hAnsi="仿宋_GB2312"/>
          <w:sz w:val="32"/>
        </w:rPr>
      </w:pPr>
      <w:r>
        <w:rPr>
          <w:rStyle w:val="C3"/>
          <w:rFonts w:ascii="Microsoft YaHei UI" w:hAnsi="Microsoft YaHei UI"/>
          <w:sz w:val="32"/>
        </w:rPr>
        <w:t>核心区外围为缓冲区，只准进入从事科学研究观测活动，禁止开展旅游和生产经营活动。</w:t>
      </w:r>
    </w:p>
    <w:p>
      <w:pPr>
        <w:pStyle w:val="P1"/>
        <w:spacing w:lineRule="exact" w:line="580"/>
        <w:ind w:firstLine="640"/>
        <w:rPr>
          <w:rStyle w:val="C3"/>
          <w:rFonts w:ascii="仿宋_GB2312" w:hAnsi="仿宋_GB2312"/>
          <w:sz w:val="32"/>
        </w:rPr>
      </w:pPr>
      <w:r>
        <w:rPr>
          <w:rStyle w:val="C3"/>
          <w:rFonts w:ascii="Microsoft YaHei UI" w:hAnsi="Microsoft YaHei UI"/>
          <w:sz w:val="32"/>
        </w:rPr>
        <w:t>缓冲区外围为实验区，可以进行科学试验、教学实习、参观考察、旅游以及驯化、繁殖珍稀、濒危野生动植物等活动。</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呼伦贝尔市人民政府以及保护区所在地旗县级人民政府应当制定本辖区保护区生态移民规划，核心区应当逐步实现无人居住，缓冲区和实验区应当逐步减少居住人口。</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保护区内禁止迁入新的住户。保护区内的单位、居民和经批准进入保护区的人员应当遵守保护区的有关规定，服从保护区管理机构的管理。</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禁止任何单位和个人在保护区内从事下列活动</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（一）砍伐、放牧、狩猎、捕捞、采药、开垦、烧荒、开矿、采石、挖沙、取土等活动，法律、行政法规另有规定的除外</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（二）建设工业固体废物集中贮存、处置设施、场所和生活垃圾填埋场以及其他污染环境、破坏自然资源或者景观的项目</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（三）向保护区水体倾倒排放固体、液体废弃物</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（四）在保护区水体清洗车辆、装贮过油类或者有毒污染物的容器和其他可能污染水体的物品</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（五）非法出售、收购国家和自治区重点保护野生动物及其制品</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（六）破坏鱼类等水生野生动物的洄游通道</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（七）捡拾鸟卵、捣毁鸟巢等破坏鸟类及其他野生动物繁殖区及其栖息地</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（八）开采地下水资源，经依法批准的饮水安全建设工程除外</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（九）破坏湖岸和河岸的芦苇、柳条、锦鸡儿等护岸固沙植被</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（十）挖沟筑坝，排放湿地水资源等</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（十一）法律、法规禁止的其他行为。</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船舶排放含油污水、生活污水，应当符合船舶污染物排放标准。船舶的残油、废油应当回收，不得排入水体。</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保护区严格控制引进外来物种。确有必要引入外来物种的，按照国家有关规定进行审批和实验。在试种、试养期，应当接受保护区管理机构和有关行政管理部门的监督管理。</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保护区管理机构应当建立鸟类以及其他野生动物救护机构，负责救护、放生工作。</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发现受伤、病弱、饥饿、受困、迷途的国家和自治区重点保护野生动物时，应当及时报告保护区管理机构，由其采取救护措施；也可以就近送至具备救护条件的单位救护。救护单位应当及时救护，并报告保护区管理机构。</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保护区所在地旗县级以上人民政府和保护区管理机构应当组织保护区与周边单位、居民建立防火联防机制，制定防火公约，监督检查保护区的防火工作。</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保护区管理机构应当在科学论证的基础上，采取河道险工治理、河道清淤疏浚、河道湿地恢复和河道景观建设等措施，对保护区河道进行综合治理，有关部门应当按照各自职责予以配合。</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保护区管理机构应当在科学论证的基础上，有计划地种植有利于净化水体的植物、放养有利于净化水体的底栖动物和鱼类，并对各类水生植物的残体进行清除。</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保护区管理机构应当结合水文、水质、生态监测站点和断面，建立保护区生态环境指标体系和综合监控网络体系以及相应的信息数据库。</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保护区管理机构应当在进出保护区的主要路口设置检查哨卡，对进出保护区的车辆、人员进行检查登记，有关人员应当配合。</w:t>
      </w:r>
    </w:p>
    <w:p>
      <w:pPr>
        <w:pStyle w:val="P1"/>
        <w:spacing w:lineRule="exact" w:line="580" w:before="156" w:after="156"/>
        <w:jc w:val="center"/>
        <w:rPr>
          <w:rStyle w:val="C3"/>
          <w:rFonts w:ascii="黑体" w:hAnsi="黑体"/>
          <w:sz w:val="32"/>
        </w:rPr>
      </w:pPr>
      <w:r>
        <w:rPr>
          <w:rStyle w:val="C3"/>
          <w:rFonts w:ascii="黑体" w:hAnsi="黑体"/>
          <w:sz w:val="32"/>
        </w:rPr>
        <w:t>第三章　利用与管理</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在保护区依法从事有关建设、经营、利用等活动，应当符合保护区总体规划。</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在核心区和缓冲区内，不得建设任何生产经营设施。</w:t>
      </w:r>
    </w:p>
    <w:p>
      <w:pPr>
        <w:pStyle w:val="P1"/>
        <w:spacing w:lineRule="exact" w:line="580"/>
        <w:ind w:firstLine="640"/>
        <w:rPr>
          <w:rStyle w:val="C3"/>
          <w:rFonts w:ascii="仿宋_GB2312" w:hAnsi="仿宋_GB2312"/>
          <w:sz w:val="32"/>
        </w:rPr>
      </w:pPr>
      <w:r>
        <w:rPr>
          <w:rStyle w:val="C3"/>
          <w:rFonts w:ascii="Microsoft YaHei UI" w:hAnsi="Microsoft YaHei UI"/>
          <w:sz w:val="32"/>
        </w:rPr>
        <w:t>在实验区内不得建设污染环境、破坏资源或者影响景观的生产经营设施。经批准建设的其他项目，其污染物排放不得超过国家和自治区规定的排放标准。</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保护区内未经批准的建设项目应当依法限期关闭。造成生态破坏的，相关责任人应当依法承担生态恢复治理责任。</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因科学研究需要，必须进入核心区从事科学研究观测、调查活动的，应当于三十日前向保护区管理机构提交书面申请和活动计划，并按照国家有关规定办理审批手续。</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因教学科研观测需要，进入缓冲区从事非破坏性的科学研究、教学实习和标本采集活动的，应当于三十日前向保护区管理机构提交书面申请和活动计划，经保护区管理机构批准后方可进入。</w:t>
      </w:r>
    </w:p>
    <w:p>
      <w:pPr>
        <w:pStyle w:val="P1"/>
        <w:spacing w:lineRule="exact" w:line="580"/>
        <w:ind w:firstLine="640"/>
        <w:rPr>
          <w:rStyle w:val="C3"/>
          <w:rFonts w:ascii="仿宋_GB2312" w:hAnsi="仿宋_GB2312"/>
          <w:sz w:val="32"/>
        </w:rPr>
      </w:pPr>
      <w:r>
        <w:rPr>
          <w:rStyle w:val="C3"/>
          <w:rFonts w:ascii="Microsoft YaHei UI" w:hAnsi="Microsoft YaHei UI"/>
          <w:sz w:val="32"/>
        </w:rPr>
        <w:t>从事前款活动的单位和个人，应当向保护区管理机构提交活动成果副本。</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在实验区从事旅游、食宿、餐饮、娱乐业等经营活动的单位和个人，应当依法办理有关手续，在保护区管理机构指定地点或者范围从事经营活动，并设置垃圾、废水处理等设施，服从保护区管理机构的监督管理。</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保护区内的建设项目和与保护区有关的规划应当依法进行环境影响评价。</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保护区内水域中的船舶，应当按照保护区总体规划实行总量控制。有关单位和个人应当将从事旅游经营等船舶的活动范围书面告知保护区管理机构，服从保护区管理机构的管理。</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保护区所在地旗县级人民政府农牧业主管部门应当将保护区内草原承包、流转情况及时书面告知保护区管理机构。</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经依法批准占用实验区自然资源的，应当实行资源有偿使用制度，具体办法由自治区人民政府制定。</w:t>
      </w:r>
    </w:p>
    <w:p>
      <w:pPr>
        <w:pStyle w:val="P1"/>
        <w:spacing w:lineRule="exact" w:line="580" w:before="156" w:after="156"/>
        <w:jc w:val="center"/>
        <w:rPr>
          <w:rStyle w:val="C3"/>
          <w:rFonts w:ascii="黑体" w:hAnsi="黑体"/>
          <w:sz w:val="32"/>
        </w:rPr>
      </w:pPr>
      <w:r>
        <w:rPr>
          <w:rStyle w:val="C3"/>
          <w:rFonts w:ascii="黑体" w:hAnsi="黑体"/>
          <w:sz w:val="32"/>
        </w:rPr>
        <w:t>第四章　法律责任</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违反本条例规定的行为，《中华人民共和国环境保护法》《中华人民共和国自然保护区条例》等有关法律、法规已经作出具体处罚规定的，从其规定，由保护区管理机构依照职责进行处罚。</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违反本条例第十六条规定，在保护区内有下列行为之一的，由保护区管理机构责令停止违法行为，并按照下列规定进行处罚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（一）破坏鱼类等水生野生动物的洄游通道的，处以恢复原状所需费用的一倍以上三倍以下罚款；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（二）破坏鸟类及其他野生动物繁殖区及其栖息地的，处以恢复原状所需费用的一倍以上三倍以下罚款；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（三）破坏湖岸、河岸护岸固沙植被的，处以恢复原状所需费用的一倍以上三倍以下罚款。</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保护区所在地人民政府及其有关部门和保护区管理机构违反本条例规定，有下列情形之一的，对直接负责的主管人员和其他直接责任人员依法给予行政处分；构成犯罪的，依法追究刑事责任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（一）不执行或者擅自变更保护区总体规划的；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（二）超越权限批准进入保护区从事相关活动的；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（三）未依法履行监督管理职责或者发现违法行为不予查处，造成严重后果的；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（四）其他玩忽职守、滥用职权、徇私舞弊的行为。</w:t>
      </w:r>
    </w:p>
    <w:p>
      <w:pPr>
        <w:pStyle w:val="P1"/>
        <w:spacing w:lineRule="exact" w:line="580" w:before="156" w:after="156"/>
        <w:jc w:val="center"/>
        <w:rPr>
          <w:rStyle w:val="C3"/>
          <w:rFonts w:ascii="黑体" w:hAnsi="黑体"/>
          <w:sz w:val="32"/>
        </w:rPr>
      </w:pPr>
      <w:r>
        <w:rPr>
          <w:rStyle w:val="C3"/>
          <w:rFonts w:ascii="黑体" w:hAnsi="黑体"/>
          <w:sz w:val="32"/>
        </w:rPr>
        <w:t>第五章　附　则</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2018-09-13T06:14:00Z</dcterms:created>
  <cp:lastModifiedBy>f1TZOF\f1TZOF-</cp:lastModifiedBy>
  <cp:lastPrinted>2018-08-28T07:32:00Z</cp:lastPrinted>
  <dcterms:modified xsi:type="dcterms:W3CDTF">2024-08-28T01:35:23Z</dcterms:modified>
  <cp:revision>4</cp:revision>
  <dc:title>关于自治区人大常委会</dc:title>
</cp:coreProperties>
</file>