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2782BFE" Type="http://schemas.openxmlformats.org/officeDocument/2006/relationships/officeDocument" Target="/word/document.xml" /><Relationship Id="coreR72782BFE" Type="http://schemas.openxmlformats.org/package/2006/relationships/metadata/core-properties" Target="/docProps/core.xml" /><Relationship Id="customR72782B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方正仿宋_GBK" w:hAnsi="方正仿宋_GBK"/>
          <w:sz w:val="32"/>
        </w:rPr>
      </w:pPr>
    </w:p>
    <w:p>
      <w:pPr>
        <w:pStyle w:val="P1"/>
        <w:jc w:val="center"/>
        <w:rPr>
          <w:rStyle w:val="C3"/>
          <w:rFonts w:ascii="方正小标宋简体" w:hAnsi="方正小标宋简体"/>
          <w:sz w:val="44"/>
        </w:rPr>
      </w:pPr>
      <w:r>
        <w:rPr>
          <w:rStyle w:val="C3"/>
          <w:rFonts w:ascii="Microsoft YaHei UI" w:hAnsi="Microsoft YaHei UI"/>
          <w:sz w:val="44"/>
        </w:rPr>
        <w:t>山西省康养产业促进条例</w:t>
      </w:r>
    </w:p>
    <w:p>
      <w:pPr>
        <w:pStyle w:val="P1"/>
        <w:ind w:firstLine="640"/>
        <w:rPr>
          <w:rStyle w:val="C3"/>
          <w:rFonts w:ascii="方正仿宋_GBK" w:hAnsi="方正仿宋_GBK"/>
          <w:sz w:val="32"/>
        </w:rPr>
      </w:pPr>
    </w:p>
    <w:p>
      <w:pPr>
        <w:pStyle w:val="P1"/>
        <w:jc w:val="center"/>
        <w:rPr>
          <w:rStyle w:val="C3"/>
          <w:rFonts w:ascii="楷体" w:hAnsi="楷体"/>
          <w:sz w:val="32"/>
        </w:rPr>
      </w:pPr>
      <w:r>
        <w:rPr>
          <w:rStyle w:val="C3"/>
          <w:rFonts w:ascii="楷体" w:hAnsi="楷体"/>
          <w:sz w:val="32"/>
        </w:rPr>
        <w:t>（2021年9月29日山西省第十三届人民代表大会</w:t>
      </w:r>
    </w:p>
    <w:p>
      <w:pPr>
        <w:pStyle w:val="P1"/>
        <w:jc w:val="center"/>
        <w:rPr>
          <w:rStyle w:val="C3"/>
          <w:rFonts w:ascii="楷体" w:hAnsi="楷体"/>
          <w:sz w:val="32"/>
        </w:rPr>
      </w:pPr>
      <w:r>
        <w:rPr>
          <w:rStyle w:val="C3"/>
          <w:rFonts w:ascii="楷体" w:hAnsi="楷体"/>
          <w:sz w:val="32"/>
        </w:rPr>
        <w:t>常务委员会第三十一次会议通过）</w:t>
      </w:r>
    </w:p>
    <w:p>
      <w:pPr>
        <w:pStyle w:val="P1"/>
        <w:ind w:firstLine="640"/>
        <w:rPr>
          <w:rStyle w:val="C3"/>
          <w:rFonts w:ascii="方正仿宋_GBK" w:hAnsi="方正仿宋_GBK"/>
          <w:sz w:val="32"/>
        </w:rPr>
      </w:pPr>
    </w:p>
    <w:p>
      <w:pPr>
        <w:pStyle w:val="P1"/>
        <w:keepNext w:val="0"/>
        <w:keepLines w:val="0"/>
        <w:widowControl w:val="0"/>
        <w:ind w:firstLine="641"/>
        <w:rPr>
          <w:rStyle w:val="C3"/>
          <w:rFonts w:ascii="方正仿宋_GBK" w:hAnsi="方正仿宋_GBK"/>
          <w:sz w:val="32"/>
        </w:rPr>
      </w:pPr>
      <w:r>
        <w:rPr>
          <w:rStyle w:val="C3"/>
          <w:rFonts w:ascii="黑体" w:hAnsi="黑体"/>
          <w:sz w:val="32"/>
        </w:rPr>
        <w:t>第一条</w:t>
      </w:r>
      <w:r>
        <w:rPr>
          <w:rStyle w:val="C3"/>
          <w:rFonts w:ascii="CESI黑体-GB13000" w:hAnsi="CESI黑体-GB13000"/>
          <w:sz w:val="32"/>
        </w:rPr>
        <w:t xml:space="preserve"> </w:t>
      </w:r>
      <w:r>
        <w:rPr>
          <w:rStyle w:val="C3"/>
          <w:rFonts w:ascii="仿宋" w:hAnsi="仿宋"/>
          <w:sz w:val="32"/>
        </w:rPr>
        <w:t>为了规范和促进康养产业发展，满足人民群众多样化、高品质、全生命周期健康需求，提高人民群众生活品质，全方位推进高质量发展，根据有关法律、行政法规，结合本省实际，制定本条例。</w:t>
      </w:r>
    </w:p>
    <w:p>
      <w:pPr>
        <w:pStyle w:val="P1"/>
        <w:keepNext w:val="0"/>
        <w:keepLines w:val="0"/>
        <w:widowControl w:val="0"/>
        <w:ind w:firstLine="641"/>
        <w:rPr>
          <w:rStyle w:val="C3"/>
          <w:rFonts w:ascii="仿宋" w:hAnsi="仿宋"/>
          <w:sz w:val="32"/>
        </w:rPr>
      </w:pPr>
      <w:r>
        <w:rPr>
          <w:rStyle w:val="C3"/>
          <w:rFonts w:ascii="黑体" w:hAnsi="黑体"/>
          <w:sz w:val="32"/>
        </w:rPr>
        <w:t>第二条</w:t>
      </w:r>
      <w:r>
        <w:rPr>
          <w:rStyle w:val="C3"/>
          <w:rFonts w:ascii="仿宋" w:hAnsi="仿宋"/>
          <w:sz w:val="32"/>
        </w:rPr>
        <w:t xml:space="preserve"> 本条例所称康养产业，是指以提高人民群众健康水平为核心形成的综合性产业，包括直接或者间接为康养活动提供物质或者非物质服务的养老、养生以及医疗、文化、体育、旅居等产业。</w:t>
      </w:r>
    </w:p>
    <w:p>
      <w:pPr>
        <w:pStyle w:val="P1"/>
        <w:keepNext w:val="0"/>
        <w:keepLines w:val="0"/>
        <w:widowControl w:val="0"/>
        <w:ind w:firstLine="641"/>
        <w:rPr>
          <w:rStyle w:val="C3"/>
          <w:rFonts w:ascii="仿宋" w:hAnsi="仿宋"/>
          <w:sz w:val="32"/>
        </w:rPr>
      </w:pPr>
      <w:r>
        <w:rPr>
          <w:rStyle w:val="C3"/>
          <w:rFonts w:ascii="黑体" w:hAnsi="黑体"/>
          <w:sz w:val="32"/>
        </w:rPr>
        <w:t>第三条</w:t>
      </w:r>
      <w:r>
        <w:rPr>
          <w:rStyle w:val="C3"/>
          <w:rFonts w:ascii="仿宋" w:hAnsi="仿宋"/>
          <w:sz w:val="32"/>
        </w:rPr>
        <w:t xml:space="preserve"> 康养产业发展应当坚持政府引导、市场主导、绿色发展、突出特色、产业融合的原则。</w:t>
      </w:r>
    </w:p>
    <w:p>
      <w:pPr>
        <w:pStyle w:val="P1"/>
        <w:keepNext w:val="0"/>
        <w:keepLines w:val="0"/>
        <w:widowControl w:val="0"/>
        <w:ind w:firstLine="641"/>
        <w:rPr>
          <w:rStyle w:val="C3"/>
          <w:rFonts w:ascii="仿宋" w:hAnsi="仿宋"/>
          <w:sz w:val="32"/>
        </w:rPr>
      </w:pPr>
      <w:r>
        <w:rPr>
          <w:rStyle w:val="C3"/>
          <w:rFonts w:ascii="黑体" w:hAnsi="黑体"/>
          <w:sz w:val="32"/>
        </w:rPr>
        <w:t>第四条</w:t>
      </w:r>
      <w:r>
        <w:rPr>
          <w:rStyle w:val="C3"/>
          <w:rFonts w:ascii="仿宋" w:hAnsi="仿宋"/>
          <w:sz w:val="32"/>
        </w:rPr>
        <w:t xml:space="preserve"> 县级以上人民政府应当加强对康养产业发展工作的领导，建立联席会议制度，负责康养产业发展的统筹协调，研究解决康养产业发展重大问题。</w:t>
      </w:r>
    </w:p>
    <w:p>
      <w:pPr>
        <w:pStyle w:val="P1"/>
        <w:keepNext w:val="0"/>
        <w:keepLines w:val="0"/>
        <w:widowControl w:val="0"/>
        <w:ind w:firstLine="641"/>
        <w:rPr>
          <w:rStyle w:val="C3"/>
          <w:rFonts w:ascii="仿宋" w:hAnsi="仿宋"/>
          <w:sz w:val="32"/>
        </w:rPr>
      </w:pPr>
      <w:r>
        <w:rPr>
          <w:rStyle w:val="C3"/>
          <w:rFonts w:ascii="黑体" w:hAnsi="黑体"/>
          <w:sz w:val="32"/>
        </w:rPr>
        <w:t>第五条</w:t>
      </w:r>
      <w:r>
        <w:rPr>
          <w:rStyle w:val="C3"/>
          <w:rFonts w:ascii="仿宋" w:hAnsi="仿宋"/>
          <w:sz w:val="32"/>
        </w:rPr>
        <w:t xml:space="preserve"> 省人民政府应当结合资源禀赋、区位优势、历史文化、基础设施等情况，按照市场化、产业化、特色化、专业化原则，编制全省康养产业发展规划。</w:t>
      </w:r>
    </w:p>
    <w:p>
      <w:pPr>
        <w:pStyle w:val="P1"/>
        <w:keepNext w:val="0"/>
        <w:keepLines w:val="0"/>
        <w:widowControl w:val="0"/>
        <w:ind w:firstLine="641"/>
        <w:rPr>
          <w:rStyle w:val="C3"/>
          <w:rFonts w:ascii="仿宋" w:hAnsi="仿宋"/>
          <w:sz w:val="32"/>
        </w:rPr>
      </w:pPr>
      <w:r>
        <w:rPr>
          <w:rStyle w:val="C3"/>
          <w:rFonts w:ascii="仿宋" w:hAnsi="仿宋"/>
          <w:sz w:val="32"/>
        </w:rPr>
        <w:t>设区的市、县（市、区）人民政府应当根据全省康养产业发展规划和本地实际，编制本行政区域康养产业发展规划并组织实施。</w:t>
      </w:r>
    </w:p>
    <w:p>
      <w:pPr>
        <w:pStyle w:val="P1"/>
        <w:keepNext w:val="0"/>
        <w:keepLines w:val="0"/>
        <w:widowControl w:val="0"/>
        <w:ind w:firstLine="641"/>
        <w:rPr>
          <w:rStyle w:val="C3"/>
          <w:rFonts w:ascii="仿宋" w:hAnsi="仿宋"/>
          <w:sz w:val="32"/>
        </w:rPr>
      </w:pPr>
      <w:r>
        <w:rPr>
          <w:rStyle w:val="C3"/>
          <w:rFonts w:ascii="仿宋" w:hAnsi="仿宋"/>
          <w:sz w:val="32"/>
        </w:rPr>
        <w:t>康养产业发展规划应当包括发展目标、产业导向、重点领域、重点项目、具体措施、扶持政策等内容，并与国民经济和社会发展规划、国土空间规划、生态环境保护规划等相衔接。</w:t>
      </w:r>
    </w:p>
    <w:p>
      <w:pPr>
        <w:pStyle w:val="P1"/>
        <w:keepNext w:val="0"/>
        <w:keepLines w:val="0"/>
        <w:widowControl w:val="0"/>
        <w:ind w:firstLine="641"/>
        <w:rPr>
          <w:rStyle w:val="C3"/>
          <w:rFonts w:ascii="仿宋" w:hAnsi="仿宋"/>
          <w:sz w:val="32"/>
        </w:rPr>
      </w:pPr>
      <w:r>
        <w:rPr>
          <w:rStyle w:val="C3"/>
          <w:rFonts w:ascii="黑体" w:hAnsi="黑体"/>
          <w:sz w:val="32"/>
        </w:rPr>
        <w:t>第六条</w:t>
      </w:r>
      <w:r>
        <w:rPr>
          <w:rStyle w:val="C3"/>
          <w:rFonts w:ascii="仿宋" w:hAnsi="仿宋"/>
          <w:sz w:val="32"/>
        </w:rPr>
        <w:t xml:space="preserve"> 县级以上人民政府应当建立康养产业大数据平台，整合康养投资融资、信息服务、展示交易、公共服务等信息，推进康养产业信息化。</w:t>
      </w:r>
    </w:p>
    <w:p>
      <w:pPr>
        <w:pStyle w:val="P1"/>
        <w:keepNext w:val="0"/>
        <w:keepLines w:val="0"/>
        <w:widowControl w:val="0"/>
        <w:ind w:firstLine="641"/>
        <w:jc w:val="both"/>
        <w:rPr>
          <w:rStyle w:val="C3"/>
          <w:rFonts w:ascii="仿宋" w:hAnsi="仿宋"/>
          <w:sz w:val="32"/>
        </w:rPr>
      </w:pPr>
      <w:r>
        <w:rPr>
          <w:rStyle w:val="C3"/>
          <w:rFonts w:ascii="黑体" w:hAnsi="黑体"/>
          <w:sz w:val="32"/>
        </w:rPr>
        <w:t>第七条</w:t>
      </w:r>
      <w:r>
        <w:rPr>
          <w:rStyle w:val="C3"/>
          <w:rFonts w:ascii="仿宋" w:hAnsi="仿宋"/>
          <w:sz w:val="32"/>
        </w:rPr>
        <w:t xml:space="preserve"> 省人民政府应当组织有关部门制定康养产业标准。</w:t>
      </w:r>
    </w:p>
    <w:p>
      <w:pPr>
        <w:pStyle w:val="P1"/>
        <w:keepNext w:val="0"/>
        <w:keepLines w:val="0"/>
        <w:widowControl w:val="0"/>
        <w:ind w:firstLine="641"/>
        <w:jc w:val="both"/>
        <w:rPr>
          <w:rStyle w:val="C3"/>
          <w:rFonts w:ascii="仿宋" w:hAnsi="仿宋"/>
          <w:sz w:val="32"/>
        </w:rPr>
      </w:pPr>
      <w:r>
        <w:rPr>
          <w:rStyle w:val="C3"/>
          <w:rFonts w:ascii="黑体" w:hAnsi="黑体"/>
          <w:sz w:val="32"/>
        </w:rPr>
        <w:t>第八条</w:t>
      </w:r>
      <w:r>
        <w:rPr>
          <w:rStyle w:val="C3"/>
          <w:rFonts w:ascii="仿宋" w:hAnsi="仿宋"/>
          <w:sz w:val="32"/>
        </w:rPr>
        <w:t xml:space="preserve"> 县级以上人民政府应当整合康养产业专项资金，支持康养产业基础设施建设、品牌推广、科技研发和人才培养；制定奖励或者补助政策，吸引各类资本和社会力量参与康养产业发展。</w:t>
      </w:r>
    </w:p>
    <w:p>
      <w:pPr>
        <w:pStyle w:val="P1"/>
        <w:keepNext w:val="0"/>
        <w:keepLines w:val="0"/>
        <w:widowControl w:val="0"/>
        <w:ind w:firstLine="641"/>
        <w:jc w:val="left"/>
        <w:rPr>
          <w:rStyle w:val="C3"/>
          <w:rFonts w:ascii="仿宋" w:hAnsi="仿宋"/>
          <w:sz w:val="32"/>
        </w:rPr>
      </w:pPr>
      <w:r>
        <w:rPr>
          <w:rStyle w:val="C3"/>
          <w:rFonts w:ascii="黑体" w:hAnsi="黑体"/>
          <w:sz w:val="32"/>
        </w:rPr>
        <w:t>第九条</w:t>
      </w:r>
      <w:r>
        <w:rPr>
          <w:rStyle w:val="C3"/>
          <w:rFonts w:ascii="仿宋" w:hAnsi="仿宋"/>
          <w:sz w:val="32"/>
        </w:rPr>
        <w:t xml:space="preserve"> 设区的市、县（市、区）人民政府应当将康养产业示范项目纳入重点项目用地计划指标。</w:t>
      </w:r>
    </w:p>
    <w:p>
      <w:pPr>
        <w:pStyle w:val="P1"/>
        <w:keepNext w:val="0"/>
        <w:keepLines w:val="0"/>
        <w:widowControl w:val="0"/>
        <w:ind w:firstLine="641"/>
        <w:rPr>
          <w:rStyle w:val="C3"/>
          <w:rFonts w:ascii="仿宋" w:hAnsi="仿宋"/>
          <w:sz w:val="32"/>
        </w:rPr>
      </w:pPr>
      <w:r>
        <w:rPr>
          <w:rStyle w:val="C3"/>
          <w:rFonts w:ascii="仿宋" w:hAnsi="仿宋"/>
          <w:sz w:val="32"/>
        </w:rPr>
        <w:t>对符合国土空间规划、风景名胜区规划等相关规划的，农村集体经济组织可以依法使用建设用地自办或者以建设用地使用权入股、联营等方式发展康养产业。</w:t>
      </w:r>
    </w:p>
    <w:p>
      <w:pPr>
        <w:pStyle w:val="P1"/>
        <w:keepNext w:val="0"/>
        <w:keepLines w:val="0"/>
        <w:widowControl w:val="0"/>
        <w:ind w:firstLine="641"/>
        <w:jc w:val="left"/>
        <w:rPr>
          <w:rStyle w:val="C3"/>
          <w:rFonts w:ascii="仿宋" w:hAnsi="仿宋"/>
          <w:sz w:val="32"/>
        </w:rPr>
      </w:pPr>
      <w:r>
        <w:rPr>
          <w:rStyle w:val="C3"/>
          <w:rFonts w:ascii="黑体" w:hAnsi="黑体"/>
          <w:sz w:val="32"/>
        </w:rPr>
        <w:t>第十条</w:t>
      </w:r>
      <w:r>
        <w:rPr>
          <w:rStyle w:val="C3"/>
          <w:rFonts w:ascii="仿宋" w:hAnsi="仿宋"/>
          <w:sz w:val="32"/>
        </w:rPr>
        <w:t xml:space="preserve"> 县级以上人民政府应当对获得中华老字号、地理标志产品专用标志、有机农产品认证的康养产业品牌或者产品，给予补助或者奖励。</w:t>
      </w:r>
    </w:p>
    <w:p>
      <w:pPr>
        <w:pStyle w:val="P1"/>
        <w:keepNext w:val="0"/>
        <w:keepLines w:val="0"/>
        <w:widowControl w:val="0"/>
        <w:ind w:firstLine="641"/>
        <w:jc w:val="left"/>
        <w:rPr>
          <w:rStyle w:val="C3"/>
          <w:rFonts w:ascii="仿宋" w:hAnsi="仿宋"/>
          <w:sz w:val="32"/>
        </w:rPr>
      </w:pPr>
      <w:r>
        <w:rPr>
          <w:rStyle w:val="C3"/>
          <w:rFonts w:ascii="黑体" w:hAnsi="黑体"/>
          <w:sz w:val="32"/>
        </w:rPr>
        <w:t>第十一条</w:t>
      </w:r>
      <w:r>
        <w:rPr>
          <w:rStyle w:val="C3"/>
          <w:rFonts w:ascii="仿宋" w:hAnsi="仿宋"/>
          <w:sz w:val="32"/>
        </w:rPr>
        <w:t xml:space="preserve"> 县级以上人民政府应当定期举办康养品牌展示推广活动，组织引导康养产业经营者参加国内外康养产业交易会、博览会等。</w:t>
      </w:r>
    </w:p>
    <w:p>
      <w:pPr>
        <w:pStyle w:val="P1"/>
        <w:keepNext w:val="0"/>
        <w:keepLines w:val="0"/>
        <w:widowControl w:val="0"/>
        <w:ind w:firstLine="641"/>
        <w:jc w:val="left"/>
        <w:rPr>
          <w:rStyle w:val="C3"/>
          <w:rFonts w:ascii="仿宋" w:hAnsi="仿宋"/>
          <w:sz w:val="32"/>
        </w:rPr>
      </w:pPr>
      <w:r>
        <w:rPr>
          <w:rStyle w:val="C3"/>
          <w:rFonts w:ascii="黑体" w:hAnsi="黑体"/>
          <w:sz w:val="32"/>
        </w:rPr>
        <w:t>第十二条</w:t>
      </w:r>
      <w:r>
        <w:rPr>
          <w:rStyle w:val="C3"/>
          <w:rFonts w:ascii="仿宋" w:hAnsi="仿宋"/>
          <w:sz w:val="32"/>
        </w:rPr>
        <w:t xml:space="preserve"> 县级以上人民政府应当建立健全养老机构综合监管制度，合理统筹、均衡配置城乡养老资源，规划、建设和改造与老年人日常生活相关的公共服务设施，整合家庭、物业、餐饮、物流、护理等服务资源，建立老年人服务网点，完善养老服务供给体系。</w:t>
      </w:r>
    </w:p>
    <w:p>
      <w:pPr>
        <w:pStyle w:val="P1"/>
        <w:keepNext w:val="0"/>
        <w:keepLines w:val="0"/>
        <w:widowControl w:val="0"/>
        <w:ind w:firstLine="641"/>
        <w:jc w:val="both"/>
        <w:rPr>
          <w:rStyle w:val="C3"/>
          <w:rFonts w:ascii="仿宋" w:hAnsi="仿宋"/>
          <w:sz w:val="32"/>
        </w:rPr>
      </w:pPr>
      <w:r>
        <w:rPr>
          <w:rStyle w:val="C3"/>
          <w:rFonts w:ascii="黑体" w:hAnsi="黑体"/>
          <w:sz w:val="32"/>
        </w:rPr>
        <w:t>第十三条</w:t>
      </w:r>
      <w:r>
        <w:rPr>
          <w:rStyle w:val="C3"/>
          <w:rFonts w:ascii="仿宋" w:hAnsi="仿宋"/>
          <w:sz w:val="32"/>
        </w:rPr>
        <w:t xml:space="preserve"> 鼓励康养产业经营者与医疗机构开展合作，构建医疗、康复、保健、养生等一体化康养医疗服务体系，发展康复医院、护理院、保健院、托老院等康养医疗项目。</w:t>
      </w:r>
    </w:p>
    <w:p>
      <w:pPr>
        <w:pStyle w:val="P1"/>
        <w:keepNext w:val="0"/>
        <w:keepLines w:val="0"/>
        <w:widowControl w:val="0"/>
        <w:ind w:firstLine="641"/>
        <w:jc w:val="left"/>
        <w:rPr>
          <w:rStyle w:val="C3"/>
          <w:rFonts w:ascii="仿宋" w:hAnsi="仿宋"/>
          <w:sz w:val="32"/>
        </w:rPr>
      </w:pPr>
      <w:r>
        <w:rPr>
          <w:rStyle w:val="C3"/>
          <w:rFonts w:ascii="黑体" w:hAnsi="黑体"/>
          <w:sz w:val="32"/>
        </w:rPr>
        <w:t>第十四条</w:t>
      </w:r>
      <w:r>
        <w:rPr>
          <w:rStyle w:val="C3"/>
          <w:rFonts w:ascii="仿宋" w:hAnsi="仿宋"/>
          <w:sz w:val="32"/>
        </w:rPr>
        <w:t xml:space="preserve"> 鼓励康养产业经营者将小杂粮、红枣、核桃、沙棘等特色农产品以及连翘、黄芩、黄芪、党参、远志、款冬花、柴胡等道地优势中药材与康养项目相融合，开发具有山西特色的康养产业项目。</w:t>
      </w:r>
    </w:p>
    <w:p>
      <w:pPr>
        <w:pStyle w:val="P1"/>
        <w:keepNext w:val="0"/>
        <w:keepLines w:val="0"/>
        <w:widowControl w:val="0"/>
        <w:ind w:firstLine="641"/>
        <w:jc w:val="left"/>
        <w:rPr>
          <w:rStyle w:val="C3"/>
          <w:rFonts w:ascii="仿宋" w:hAnsi="仿宋"/>
          <w:sz w:val="32"/>
        </w:rPr>
      </w:pPr>
      <w:r>
        <w:rPr>
          <w:rStyle w:val="C3"/>
          <w:rFonts w:ascii="黑体" w:hAnsi="黑体"/>
          <w:sz w:val="32"/>
        </w:rPr>
        <w:t>第十五条</w:t>
      </w:r>
      <w:r>
        <w:rPr>
          <w:rStyle w:val="C3"/>
          <w:rFonts w:ascii="仿宋" w:hAnsi="仿宋"/>
          <w:sz w:val="32"/>
        </w:rPr>
        <w:t xml:space="preserve"> 鼓励公共文化资源向康养产业延伸，推动红色资源、古建筑、古村落、传统工艺、戏曲等与康养产业相融合，利用节假日、庙会、庆典、展会等，打造地方特色文化品牌。</w:t>
      </w:r>
    </w:p>
    <w:p>
      <w:pPr>
        <w:pStyle w:val="P1"/>
        <w:keepNext w:val="0"/>
        <w:keepLines w:val="0"/>
        <w:widowControl w:val="0"/>
        <w:ind w:firstLine="641"/>
        <w:jc w:val="left"/>
        <w:rPr>
          <w:rStyle w:val="C3"/>
          <w:rFonts w:ascii="仿宋" w:hAnsi="仿宋"/>
          <w:sz w:val="32"/>
        </w:rPr>
      </w:pPr>
      <w:r>
        <w:rPr>
          <w:rStyle w:val="C3"/>
          <w:rFonts w:ascii="黑体" w:hAnsi="黑体"/>
          <w:sz w:val="32"/>
        </w:rPr>
        <w:t>第十六条</w:t>
      </w:r>
      <w:r>
        <w:rPr>
          <w:rStyle w:val="C3"/>
          <w:rFonts w:ascii="仿宋" w:hAnsi="仿宋"/>
          <w:sz w:val="32"/>
        </w:rPr>
        <w:t xml:space="preserve"> 鼓励社会资本建设康养社区、康养乡村、康养小镇，推动农业创意、田园观光、民俗体验与康养相融合。</w:t>
      </w:r>
    </w:p>
    <w:p>
      <w:pPr>
        <w:pStyle w:val="P1"/>
        <w:keepNext w:val="0"/>
        <w:keepLines w:val="0"/>
        <w:widowControl w:val="0"/>
        <w:ind w:firstLine="641"/>
        <w:rPr>
          <w:rStyle w:val="C3"/>
          <w:rFonts w:ascii="仿宋" w:hAnsi="仿宋"/>
          <w:sz w:val="32"/>
        </w:rPr>
      </w:pPr>
      <w:r>
        <w:rPr>
          <w:rStyle w:val="C3"/>
          <w:rFonts w:ascii="仿宋" w:hAnsi="仿宋"/>
          <w:sz w:val="32"/>
        </w:rPr>
        <w:t>列入省人民政府康养产业重点项目的康养社区、康养乡村、康养小镇，按照国家和本省有关规定享受优惠政策。</w:t>
      </w:r>
    </w:p>
    <w:p>
      <w:pPr>
        <w:pStyle w:val="P1"/>
        <w:keepNext w:val="0"/>
        <w:keepLines w:val="0"/>
        <w:widowControl w:val="0"/>
        <w:ind w:firstLine="641"/>
        <w:jc w:val="left"/>
        <w:rPr>
          <w:rStyle w:val="C3"/>
          <w:rFonts w:ascii="仿宋" w:hAnsi="仿宋"/>
          <w:sz w:val="32"/>
        </w:rPr>
      </w:pPr>
      <w:r>
        <w:rPr>
          <w:rStyle w:val="C3"/>
          <w:rFonts w:ascii="黑体" w:hAnsi="黑体"/>
          <w:sz w:val="32"/>
        </w:rPr>
        <w:t>第十七条</w:t>
      </w:r>
      <w:r>
        <w:rPr>
          <w:rStyle w:val="C3"/>
          <w:rFonts w:ascii="仿宋" w:hAnsi="仿宋"/>
          <w:sz w:val="32"/>
        </w:rPr>
        <w:t xml:space="preserve"> 鼓励开发全民健身运动康养项目，推广覆盖全生命周期的运动康养服务，开展适合不同人群、不同地域的特色运动康养活动。</w:t>
      </w:r>
    </w:p>
    <w:p>
      <w:pPr>
        <w:pStyle w:val="P1"/>
        <w:keepNext w:val="0"/>
        <w:keepLines w:val="0"/>
        <w:widowControl w:val="0"/>
        <w:ind w:firstLine="641"/>
        <w:jc w:val="left"/>
        <w:rPr>
          <w:rStyle w:val="C3"/>
          <w:rFonts w:ascii="仿宋" w:hAnsi="仿宋"/>
          <w:sz w:val="32"/>
        </w:rPr>
      </w:pPr>
      <w:r>
        <w:rPr>
          <w:rStyle w:val="C3"/>
          <w:rFonts w:ascii="黑体" w:hAnsi="黑体"/>
          <w:sz w:val="32"/>
        </w:rPr>
        <w:t>第十八条</w:t>
      </w:r>
      <w:r>
        <w:rPr>
          <w:rStyle w:val="C3"/>
          <w:rFonts w:ascii="仿宋" w:hAnsi="仿宋"/>
          <w:sz w:val="32"/>
        </w:rPr>
        <w:t xml:space="preserve"> 鼓励利用自然风光、清凉气候、森林资源、地热资源等，依法拓展核心景区周边康养功能，加快康养设施改造升级，建设康养基地。</w:t>
      </w:r>
    </w:p>
    <w:p>
      <w:pPr>
        <w:pStyle w:val="P1"/>
        <w:keepNext w:val="0"/>
        <w:keepLines w:val="0"/>
        <w:widowControl w:val="0"/>
        <w:ind w:firstLine="641"/>
        <w:jc w:val="left"/>
        <w:rPr>
          <w:rStyle w:val="C3"/>
          <w:rFonts w:ascii="仿宋" w:hAnsi="仿宋"/>
          <w:sz w:val="32"/>
        </w:rPr>
      </w:pPr>
      <w:r>
        <w:rPr>
          <w:rStyle w:val="C3"/>
          <w:rFonts w:ascii="黑体" w:hAnsi="黑体"/>
          <w:sz w:val="32"/>
        </w:rPr>
        <w:t>第十九条</w:t>
      </w:r>
      <w:r>
        <w:rPr>
          <w:rStyle w:val="C3"/>
          <w:rFonts w:ascii="仿宋" w:hAnsi="仿宋"/>
          <w:sz w:val="32"/>
        </w:rPr>
        <w:t xml:space="preserve"> 康养产业经营者可以根据不同消费需求，提供多层次、多元化康养服务项目。康养服务项目应当符合国家和本省有关标准。</w:t>
      </w:r>
    </w:p>
    <w:p>
      <w:pPr>
        <w:pStyle w:val="P1"/>
        <w:keepNext w:val="0"/>
        <w:keepLines w:val="0"/>
        <w:widowControl w:val="0"/>
        <w:ind w:firstLine="641"/>
        <w:jc w:val="left"/>
        <w:rPr>
          <w:rStyle w:val="C3"/>
          <w:rFonts w:ascii="仿宋" w:hAnsi="仿宋"/>
          <w:sz w:val="32"/>
        </w:rPr>
      </w:pPr>
      <w:r>
        <w:rPr>
          <w:rStyle w:val="C3"/>
          <w:rFonts w:ascii="黑体" w:hAnsi="黑体"/>
          <w:sz w:val="32"/>
        </w:rPr>
        <w:t>第二十条</w:t>
      </w:r>
      <w:r>
        <w:rPr>
          <w:rStyle w:val="C3"/>
          <w:rFonts w:ascii="仿宋" w:hAnsi="仿宋"/>
          <w:sz w:val="32"/>
        </w:rPr>
        <w:t xml:space="preserve"> 康养产业经营者应当根据有关法律、法规，制定突发事件应急预案，健全安全防范制度，配备安全防范相关设施，并定期开展演练。</w:t>
      </w:r>
    </w:p>
    <w:p>
      <w:pPr>
        <w:pStyle w:val="P1"/>
        <w:keepNext w:val="0"/>
        <w:keepLines w:val="0"/>
        <w:widowControl w:val="0"/>
        <w:ind w:firstLine="641"/>
        <w:jc w:val="left"/>
        <w:rPr>
          <w:rStyle w:val="C3"/>
          <w:rFonts w:ascii="仿宋" w:hAnsi="仿宋"/>
          <w:sz w:val="32"/>
        </w:rPr>
      </w:pPr>
      <w:r>
        <w:rPr>
          <w:rStyle w:val="C3"/>
          <w:rFonts w:ascii="黑体" w:hAnsi="黑体"/>
          <w:sz w:val="32"/>
        </w:rPr>
        <w:t>第二十一条</w:t>
      </w:r>
      <w:r>
        <w:rPr>
          <w:rStyle w:val="C3"/>
          <w:rFonts w:ascii="仿宋" w:hAnsi="仿宋"/>
          <w:sz w:val="32"/>
        </w:rPr>
        <w:t xml:space="preserve"> 康养产业经营者应当建立健全员工管理制度，加强员工管理，定期对员工进行培训和考核。</w:t>
      </w:r>
    </w:p>
    <w:p>
      <w:pPr>
        <w:pStyle w:val="P1"/>
        <w:keepNext w:val="0"/>
        <w:keepLines w:val="0"/>
        <w:widowControl w:val="0"/>
        <w:ind w:firstLine="641"/>
        <w:rPr>
          <w:rStyle w:val="C3"/>
          <w:rFonts w:ascii="仿宋" w:hAnsi="仿宋"/>
          <w:sz w:val="32"/>
        </w:rPr>
      </w:pPr>
      <w:r>
        <w:rPr>
          <w:rStyle w:val="C3"/>
          <w:rFonts w:ascii="仿宋" w:hAnsi="仿宋"/>
          <w:sz w:val="32"/>
        </w:rPr>
        <w:t>员工上岗前应当取得有效的健康合格证明和其他法定资质。</w:t>
      </w:r>
    </w:p>
    <w:p>
      <w:pPr>
        <w:pStyle w:val="P1"/>
        <w:keepNext w:val="0"/>
        <w:keepLines w:val="0"/>
        <w:widowControl w:val="0"/>
        <w:ind w:firstLine="641"/>
        <w:jc w:val="both"/>
        <w:rPr>
          <w:rStyle w:val="C3"/>
          <w:rFonts w:ascii="仿宋" w:hAnsi="仿宋"/>
          <w:sz w:val="32"/>
        </w:rPr>
      </w:pPr>
      <w:r>
        <w:rPr>
          <w:rStyle w:val="C3"/>
          <w:rFonts w:ascii="黑体" w:hAnsi="黑体"/>
          <w:sz w:val="32"/>
        </w:rPr>
        <w:t>第二十二条</w:t>
      </w:r>
      <w:r>
        <w:rPr>
          <w:rStyle w:val="C3"/>
          <w:rFonts w:ascii="仿宋" w:hAnsi="仿宋"/>
          <w:sz w:val="32"/>
        </w:rPr>
        <w:t xml:space="preserve"> 康养产业经营者不得以虚假广告欺骗、误导、诱导消费者；不得设置或者变相设置最低消费。</w:t>
      </w:r>
    </w:p>
    <w:p>
      <w:pPr>
        <w:pStyle w:val="P1"/>
        <w:keepNext w:val="0"/>
        <w:keepLines w:val="0"/>
        <w:widowControl w:val="0"/>
        <w:ind w:firstLine="641"/>
        <w:jc w:val="left"/>
        <w:rPr>
          <w:rStyle w:val="C3"/>
        </w:rPr>
      </w:pPr>
      <w:r>
        <w:rPr>
          <w:rStyle w:val="C3"/>
          <w:rFonts w:ascii="黑体" w:hAnsi="黑体"/>
          <w:sz w:val="32"/>
        </w:rPr>
        <w:t>第二十三条</w:t>
      </w:r>
      <w:r>
        <w:rPr>
          <w:rStyle w:val="C3"/>
          <w:rFonts w:ascii="仿宋" w:hAnsi="仿宋"/>
          <w:sz w:val="32"/>
        </w:rPr>
        <w:t xml:space="preserve"> 本条例自2021年12月1日起施行。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2021-11-04T08:28:00Z</dcterms:created>
  <cp:lastModifiedBy>f1TZOF\f1TZOF-</cp:lastModifiedBy>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9B517EC5BBF94102BDEA08E019742F6D</vt:lpwstr>
  </property>
</Properties>
</file>