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6E44DE" Type="http://schemas.openxmlformats.org/officeDocument/2006/relationships/officeDocument" Target="/word/document.xml" /><Relationship Id="coreR6D6E44DE" Type="http://schemas.openxmlformats.org/package/2006/relationships/metadata/core-properties" Target="/docProps/core.xml" /><Relationship Id="customR6D6E44D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b w:val="1"/>
          <w:sz w:val="44"/>
        </w:rPr>
      </w:pPr>
      <w:r>
        <w:rPr>
          <w:rStyle w:val="C3"/>
          <w:rFonts w:ascii="Microsoft YaHei UI" w:hAnsi="Microsoft YaHei UI"/>
          <w:b w:val="1"/>
          <w:sz w:val="44"/>
        </w:rPr>
        <w:t>贵州省人民防空条例</w:t>
      </w:r>
    </w:p>
    <w:p>
      <w:pPr>
        <w:pStyle w:val="P1"/>
        <w:spacing w:lineRule="exact" w:line="60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日贵州省第九届人民代表大会常务委员会第十次会议通过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日贵州省第十届人民代表大会常务委员会第八次会议通过的《贵州省部分地方性法规条款修改案》第一次修正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日贵州省第十二届人民代表大会常务委员会第十六次会议通过的《贵州省人民代表大会常务委员会关于修改〈贵州省渔业条例〉等五件法规个别条款的决定》第二次修正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日贵州省第十二届人民代表大会常务委员会第三十二次会议通过的《贵州省人民代表大会常务委员会关于修改〈贵州省建筑市场管理条例〉等二十五件法规个别条款的决定》第三次修正）</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根据《中华人民共和国人民防空法》和有关法律、法规的规定，结合本省实际，制定本条例。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本省行政区域内的单位和个人，应当遵守本条例。</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县级以上人民政府和同级军事机关领导本行政区域的人民防空工作。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县级以上人民政府人民防空行政部门管理本行政区域的人民防空工作。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县级以上人民政府的计划、财政、建设、规划、国土等有关部门在各自的职责范围内负责有关的人民防空工作。</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人民防空建设是国防建设的组成部分。县级以上人民政府应当按照长期准备、重点建设、平战结合的方针，贯彻与经济建设协调发展、与城市建设相结合的原则，将人民防空建设纳入国民经济和社会发展计划。</w:t>
      </w:r>
    </w:p>
    <w:p>
      <w:pPr>
        <w:pStyle w:val="P1"/>
        <w:spacing w:lineRule="exact" w:line="600"/>
        <w:ind w:firstLine="640"/>
        <w:rPr>
          <w:rStyle w:val="C3"/>
          <w:rFonts w:ascii="仿宋_GB2312" w:hAnsi="仿宋_GB2312"/>
          <w:sz w:val="32"/>
        </w:rPr>
      </w:pPr>
      <w:r>
        <w:rPr>
          <w:rStyle w:val="C3"/>
          <w:rFonts w:ascii="Microsoft YaHei UI" w:hAnsi="Microsoft YaHei UI"/>
          <w:sz w:val="32"/>
        </w:rPr>
        <w:t>城市人民政府应当将人民防空工程建设规划纳入城市总体规划。</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城市和重要经济目标是人民防空的重点。全省人民防空重点城市和重要经济目标由省人民政府和省军事机关确定。</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城市人民政府应当根据国家对城市实行分类防护的原则，按照国家规定的城市防护类别和防护标准进行人民防空建设，制定防空袭方案，组织必要的城市防空袭演练。</w:t>
      </w: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县级以上人民政府根据城市人民防空疏散计划，在预定疏散地区，组织有关单位和部门，进行疏散地域建设。</w:t>
      </w:r>
    </w:p>
    <w:p>
      <w:pPr>
        <w:pStyle w:val="P1"/>
        <w:spacing w:lineRule="exact" w:line="600"/>
        <w:ind w:firstLine="640"/>
        <w:rPr>
          <w:rStyle w:val="C3"/>
          <w:rFonts w:ascii="仿宋_GB2312" w:hAnsi="仿宋_GB2312"/>
          <w:sz w:val="32"/>
        </w:rPr>
      </w:pPr>
      <w:r>
        <w:rPr>
          <w:rStyle w:val="C3"/>
          <w:rFonts w:ascii="Microsoft YaHei UI" w:hAnsi="Microsoft YaHei UI"/>
          <w:sz w:val="32"/>
        </w:rPr>
        <w:t>人民防空行政部门根据防空袭方案，指导有关部门拟制保障计划。</w:t>
      </w:r>
    </w:p>
    <w:p>
      <w:pPr>
        <w:pStyle w:val="P1"/>
        <w:spacing w:lineRule="exact" w:line="600"/>
        <w:ind w:firstLine="640"/>
        <w:rPr>
          <w:rStyle w:val="C3"/>
          <w:rFonts w:ascii="仿宋_GB2312" w:hAnsi="仿宋_GB2312"/>
          <w:sz w:val="32"/>
        </w:rPr>
      </w:pPr>
      <w:r>
        <w:rPr>
          <w:rStyle w:val="C3"/>
          <w:rFonts w:ascii="Microsoft YaHei UI" w:hAnsi="Microsoft YaHei UI"/>
          <w:sz w:val="32"/>
        </w:rPr>
        <w:t>有关单位必须按照规定，建设、维护和管理重要经济目标的防护设施。</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按照人民防空建设规划修建的公用或者专用的人民防空工程及设备、设施属国防设施，所需建设用地由县级以上人民政府依法予以保障。</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人民防空工程、通信、警报、疏散地建设，应当适应现代战争的需要，按照国家规定的防护要求和质量技术标准结合城市建设和经济建设进行。</w:t>
      </w:r>
    </w:p>
    <w:p>
      <w:pPr>
        <w:pStyle w:val="P1"/>
        <w:spacing w:lineRule="exact" w:line="600"/>
        <w:ind w:firstLine="640"/>
        <w:rPr>
          <w:rStyle w:val="C3"/>
          <w:rFonts w:ascii="仿宋_GB2312" w:hAnsi="仿宋_GB2312"/>
          <w:sz w:val="32"/>
        </w:rPr>
      </w:pPr>
      <w:r>
        <w:rPr>
          <w:rStyle w:val="C3"/>
          <w:rFonts w:ascii="Microsoft YaHei UI" w:hAnsi="Microsoft YaHei UI"/>
          <w:sz w:val="32"/>
        </w:rPr>
        <w:t>本条例公布前已建成的人民防空工程，未建防护设施的，有关部门应当制定平战转换措施。</w:t>
      </w:r>
    </w:p>
    <w:p>
      <w:pPr>
        <w:pStyle w:val="P1"/>
        <w:spacing w:lineRule="exact" w:line="600"/>
        <w:ind w:firstLine="640"/>
        <w:rPr>
          <w:rStyle w:val="C3"/>
          <w:rFonts w:ascii="仿宋_GB2312" w:hAnsi="仿宋_GB2312"/>
          <w:sz w:val="32"/>
        </w:rPr>
      </w:pPr>
      <w:r>
        <w:rPr>
          <w:rStyle w:val="C3"/>
          <w:rFonts w:ascii="Microsoft YaHei UI" w:hAnsi="Microsoft YaHei UI"/>
          <w:sz w:val="32"/>
        </w:rPr>
        <w:t>城市地下交通干线和其他重要地下工程的建设，应当征求人民防空行政部门的意见，兼顾人民防空需要。</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城市新建民用建筑，应当按照国家和省人民政府的有关规定修建战时可以用于防空的地下室。因地质、地形等客观条件限制不宜修建的，建设单位应当按照国家和省人民政府的有关规定提出申请，报经工程所在地的县或者市、州人民防空行政部门批准，可以不修建防空地下室，但应当向批准的人民防空行政部门缴纳易地建设费，由人民防空行政部门统一规划修建公用的人民防空工程。</w:t>
      </w:r>
    </w:p>
    <w:p>
      <w:pPr>
        <w:pStyle w:val="P1"/>
        <w:spacing w:lineRule="exact" w:line="600"/>
        <w:ind w:firstLine="640"/>
        <w:rPr>
          <w:rStyle w:val="C3"/>
          <w:rFonts w:ascii="仿宋_GB2312" w:hAnsi="仿宋_GB2312"/>
          <w:sz w:val="32"/>
        </w:rPr>
      </w:pPr>
      <w:r>
        <w:rPr>
          <w:rStyle w:val="C3"/>
          <w:rFonts w:ascii="Microsoft YaHei UI" w:hAnsi="Microsoft YaHei UI"/>
          <w:sz w:val="32"/>
        </w:rPr>
        <w:t>建设单位向工程所在地的县或者市、州人民防空行政部门提出的易地建设申请，人民防空行政主管部门应当自收到申请之日起</w:t>
      </w:r>
      <w:r>
        <w:rPr>
          <w:rStyle w:val="C3"/>
          <w:rFonts w:ascii="仿宋_GB2312" w:hAnsi="仿宋_GB2312"/>
          <w:sz w:val="32"/>
        </w:rPr>
        <w:t>20</w:t>
      </w:r>
      <w:r>
        <w:rPr>
          <w:rStyle w:val="C3"/>
          <w:rFonts w:ascii="Microsoft YaHei UI" w:hAnsi="Microsoft YaHei UI"/>
          <w:sz w:val="32"/>
        </w:rPr>
        <w:t>日内作出是否批准的决定。决定批准的，向申请人出具批准文件；决定不予批准的，应当书面通知申请人，并说明理由。</w:t>
      </w:r>
    </w:p>
    <w:p>
      <w:pPr>
        <w:pStyle w:val="P1"/>
        <w:spacing w:lineRule="exact" w:line="600"/>
        <w:ind w:firstLine="640"/>
        <w:rPr>
          <w:rStyle w:val="C3"/>
          <w:rFonts w:ascii="仿宋_GB2312" w:hAnsi="仿宋_GB2312"/>
          <w:sz w:val="32"/>
        </w:rPr>
      </w:pPr>
      <w:r>
        <w:rPr>
          <w:rStyle w:val="C3"/>
          <w:rFonts w:ascii="Microsoft YaHei UI" w:hAnsi="Microsoft YaHei UI"/>
          <w:sz w:val="32"/>
        </w:rPr>
        <w:t>易地建设的许可条件和收费标准，按照国家有关规定从严控制。</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县或者市、州人民防空行政部门应当对防空地下室建筑项目、设计进行审核。</w:t>
      </w:r>
    </w:p>
    <w:p>
      <w:pPr>
        <w:pStyle w:val="P1"/>
        <w:spacing w:lineRule="exact" w:line="600"/>
        <w:ind w:firstLine="640"/>
        <w:rPr>
          <w:rStyle w:val="C3"/>
          <w:rFonts w:ascii="仿宋_GB2312" w:hAnsi="仿宋_GB2312"/>
          <w:sz w:val="32"/>
        </w:rPr>
      </w:pPr>
      <w:r>
        <w:rPr>
          <w:rStyle w:val="C3"/>
          <w:rFonts w:ascii="Microsoft YaHei UI" w:hAnsi="Microsoft YaHei UI"/>
          <w:sz w:val="32"/>
        </w:rPr>
        <w:t>建设单位应当向工程所在地的县或者市、州人民防空行政部门提出申请，人民防空行政部门应当自收到申请之日起</w:t>
      </w:r>
      <w:r>
        <w:rPr>
          <w:rStyle w:val="C3"/>
          <w:rFonts w:ascii="仿宋_GB2312" w:hAnsi="仿宋_GB2312"/>
          <w:sz w:val="32"/>
        </w:rPr>
        <w:t>15</w:t>
      </w:r>
      <w:r>
        <w:rPr>
          <w:rStyle w:val="C3"/>
          <w:rFonts w:ascii="Microsoft YaHei UI" w:hAnsi="Microsoft YaHei UI"/>
          <w:sz w:val="32"/>
        </w:rPr>
        <w:t>日内作出是否批准的决定。决定批准的，向申请人出具批准文件；决定不予批准的，应当书面通知申请人，并说明理由。</w:t>
      </w:r>
    </w:p>
    <w:p>
      <w:pPr>
        <w:pStyle w:val="P1"/>
        <w:spacing w:lineRule="exact" w:line="600"/>
        <w:ind w:firstLine="640"/>
        <w:rPr>
          <w:rStyle w:val="C3"/>
          <w:rFonts w:ascii="仿宋_GB2312" w:hAnsi="仿宋_GB2312"/>
          <w:sz w:val="32"/>
        </w:rPr>
      </w:pPr>
      <w:r>
        <w:rPr>
          <w:rStyle w:val="C3"/>
          <w:rFonts w:ascii="Microsoft YaHei UI" w:hAnsi="Microsoft YaHei UI"/>
          <w:sz w:val="32"/>
        </w:rPr>
        <w:t>未经人民防空行政部门审核批准，有关部门不得办理工程建设手续。</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县级以上人民防空行政部门对人民防空工程建设实施计划、技术和质量管理。</w:t>
      </w:r>
    </w:p>
    <w:p>
      <w:pPr>
        <w:pStyle w:val="P1"/>
        <w:spacing w:lineRule="exact" w:line="600"/>
        <w:ind w:firstLine="640"/>
        <w:rPr>
          <w:rStyle w:val="C3"/>
          <w:rFonts w:ascii="仿宋_GB2312" w:hAnsi="仿宋_GB2312"/>
          <w:sz w:val="32"/>
        </w:rPr>
      </w:pPr>
      <w:r>
        <w:rPr>
          <w:rStyle w:val="C3"/>
          <w:rFonts w:ascii="Microsoft YaHei UI" w:hAnsi="Microsoft YaHei UI"/>
          <w:sz w:val="32"/>
        </w:rPr>
        <w:t>人民防空工程的竣工验收由批准立项的人民防空行政部门负责。</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人民防空行政部门应当对公用和专用的人民防空工程及设备、设施进行维护管理和开发利用。平时使用公用或者专用的人民防空工程及设备、设施，应当到人民防空行政部门办理手续，按照规定缴纳使用费。</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任何单位和个人不得在人民防空工程进出道路、孔口、出入口、口部专用通道设置障碍。</w:t>
      </w:r>
    </w:p>
    <w:p>
      <w:pPr>
        <w:pStyle w:val="P1"/>
        <w:spacing w:lineRule="exact" w:line="600"/>
        <w:ind w:firstLine="640"/>
        <w:rPr>
          <w:rStyle w:val="C3"/>
          <w:rFonts w:ascii="仿宋_GB2312" w:hAnsi="仿宋_GB2312"/>
          <w:sz w:val="32"/>
        </w:rPr>
      </w:pPr>
      <w:r>
        <w:rPr>
          <w:rStyle w:val="C3"/>
          <w:rFonts w:ascii="Microsoft YaHei UI" w:hAnsi="Microsoft YaHei UI"/>
          <w:sz w:val="32"/>
        </w:rPr>
        <w:t>禁止在危及人民防空工程及设备、设施安全使用的范围内采石、挖砂、爆破、打桩、取土、伐木、破坏植被等；禁止在人民防空工程安全使用范围内修建地面或者地下建筑。</w:t>
      </w:r>
    </w:p>
    <w:p>
      <w:pPr>
        <w:pStyle w:val="P1"/>
        <w:spacing w:lineRule="exact" w:line="600"/>
        <w:ind w:firstLine="640"/>
        <w:rPr>
          <w:rStyle w:val="C3"/>
          <w:rFonts w:ascii="仿宋_GB2312" w:hAnsi="仿宋_GB2312"/>
          <w:sz w:val="32"/>
        </w:rPr>
      </w:pPr>
      <w:r>
        <w:rPr>
          <w:rStyle w:val="C3"/>
          <w:rFonts w:ascii="Microsoft YaHei UI" w:hAnsi="Microsoft YaHei UI"/>
          <w:sz w:val="32"/>
        </w:rPr>
        <w:t>人民防空工程安全使用范围按照省人民政府的规定执行。</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因城市规划建设确需拆除人民防空工程及设备、设施的，应当向原审批项目的人民防空行政部门提出申请，并提供下列相关文件、资料：</w:t>
      </w:r>
    </w:p>
    <w:p>
      <w:pPr>
        <w:pStyle w:val="P1"/>
        <w:spacing w:lineRule="exact" w:line="600"/>
        <w:ind w:firstLine="640"/>
        <w:rPr>
          <w:rStyle w:val="C3"/>
          <w:rFonts w:ascii="仿宋_GB2312" w:hAnsi="仿宋_GB2312"/>
          <w:sz w:val="32"/>
        </w:rPr>
      </w:pPr>
      <w:r>
        <w:rPr>
          <w:rStyle w:val="C3"/>
          <w:rFonts w:ascii="Microsoft YaHei UI" w:hAnsi="Microsoft YaHei UI"/>
          <w:sz w:val="32"/>
        </w:rPr>
        <w:t>（一）规划部门审定的平面方案图；</w:t>
      </w:r>
    </w:p>
    <w:p>
      <w:pPr>
        <w:pStyle w:val="P1"/>
        <w:spacing w:lineRule="exact" w:line="600"/>
        <w:ind w:firstLine="640"/>
        <w:rPr>
          <w:rStyle w:val="C3"/>
          <w:rFonts w:ascii="仿宋_GB2312" w:hAnsi="仿宋_GB2312"/>
          <w:sz w:val="32"/>
        </w:rPr>
      </w:pPr>
      <w:r>
        <w:rPr>
          <w:rStyle w:val="C3"/>
          <w:rFonts w:ascii="Microsoft YaHei UI" w:hAnsi="Microsoft YaHei UI"/>
          <w:sz w:val="32"/>
        </w:rPr>
        <w:t>（二）拟建工程建筑施工图；</w:t>
      </w:r>
    </w:p>
    <w:p>
      <w:pPr>
        <w:pStyle w:val="P1"/>
        <w:spacing w:lineRule="exact" w:line="600"/>
        <w:ind w:firstLine="640"/>
        <w:rPr>
          <w:rStyle w:val="C3"/>
          <w:rFonts w:ascii="仿宋_GB2312" w:hAnsi="仿宋_GB2312"/>
          <w:sz w:val="32"/>
        </w:rPr>
      </w:pPr>
      <w:r>
        <w:rPr>
          <w:rStyle w:val="C3"/>
          <w:rFonts w:ascii="Microsoft YaHei UI" w:hAnsi="Microsoft YaHei UI"/>
          <w:sz w:val="32"/>
        </w:rPr>
        <w:t>（三）拆除人民防空工程申报卡；</w:t>
      </w:r>
    </w:p>
    <w:p>
      <w:pPr>
        <w:pStyle w:val="P1"/>
        <w:spacing w:lineRule="exact" w:line="600"/>
        <w:ind w:firstLine="640"/>
        <w:rPr>
          <w:rStyle w:val="C3"/>
          <w:rFonts w:ascii="仿宋_GB2312" w:hAnsi="仿宋_GB2312"/>
          <w:sz w:val="32"/>
        </w:rPr>
      </w:pPr>
      <w:r>
        <w:rPr>
          <w:rStyle w:val="C3"/>
          <w:rFonts w:ascii="Microsoft YaHei UI" w:hAnsi="Microsoft YaHei UI"/>
          <w:sz w:val="32"/>
        </w:rPr>
        <w:t>（四）补建或者补偿人民防空工程建设合同书。</w:t>
      </w:r>
    </w:p>
    <w:p>
      <w:pPr>
        <w:pStyle w:val="P1"/>
        <w:spacing w:lineRule="exact" w:line="600"/>
        <w:ind w:firstLine="640"/>
        <w:rPr>
          <w:rStyle w:val="C3"/>
          <w:rFonts w:ascii="仿宋_GB2312" w:hAnsi="仿宋_GB2312"/>
          <w:sz w:val="32"/>
        </w:rPr>
      </w:pPr>
      <w:r>
        <w:rPr>
          <w:rStyle w:val="C3"/>
          <w:rFonts w:ascii="Microsoft YaHei UI" w:hAnsi="Microsoft YaHei UI"/>
          <w:sz w:val="32"/>
        </w:rPr>
        <w:t>人民防空行政部门应当自收到申请之日起</w:t>
      </w:r>
      <w:r>
        <w:rPr>
          <w:rStyle w:val="C3"/>
          <w:rFonts w:ascii="仿宋_GB2312" w:hAnsi="仿宋_GB2312"/>
          <w:sz w:val="32"/>
        </w:rPr>
        <w:t>20</w:t>
      </w:r>
      <w:r>
        <w:rPr>
          <w:rStyle w:val="C3"/>
          <w:rFonts w:ascii="Microsoft YaHei UI" w:hAnsi="Microsoft YaHei UI"/>
          <w:sz w:val="32"/>
        </w:rPr>
        <w:t>日内作出是否批准的决定。决定批准的，向申请人出具批准文件；决定不予批准的，应当书面通知申请人，并说明理由。</w:t>
      </w:r>
    </w:p>
    <w:p>
      <w:pPr>
        <w:pStyle w:val="P1"/>
        <w:spacing w:lineRule="exact" w:line="600"/>
        <w:ind w:firstLine="640"/>
        <w:rPr>
          <w:rStyle w:val="C3"/>
          <w:rFonts w:ascii="仿宋_GB2312" w:hAnsi="仿宋_GB2312"/>
          <w:sz w:val="32"/>
        </w:rPr>
      </w:pPr>
      <w:r>
        <w:rPr>
          <w:rStyle w:val="C3"/>
          <w:rFonts w:ascii="Microsoft YaHei UI" w:hAnsi="Microsoft YaHei UI"/>
          <w:sz w:val="32"/>
        </w:rPr>
        <w:t>拆除单位应当按照原工程面积及时补建或者补偿。</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鼓励支持企业事业单位、社会团体和个人投资修建人民防空工程。人民防空工程平时由投资者使用、维护和管理，收益归投资者所有；战时由人民防空行政主管部门统一管理、使用。</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建设人民防空工程和开发利用人民防空工程及设备、设施，有关部门应当按照国家和省的有关规定给予优惠。</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在人民防空通信警报规划设置点修建的建筑物，所在单位应当按照有关规定预建或者提供人民防空通信警报基础设施。</w:t>
      </w:r>
    </w:p>
    <w:p>
      <w:pPr>
        <w:pStyle w:val="P1"/>
        <w:spacing w:lineRule="exact" w:line="600"/>
        <w:ind w:firstLine="640"/>
        <w:rPr>
          <w:rStyle w:val="C3"/>
          <w:rFonts w:ascii="仿宋_GB2312" w:hAnsi="仿宋_GB2312"/>
          <w:dstrike w:val="1"/>
          <w:sz w:val="32"/>
        </w:rPr>
      </w:pPr>
      <w:r>
        <w:rPr>
          <w:rStyle w:val="C3"/>
          <w:rFonts w:ascii="Microsoft YaHei UI" w:hAnsi="Microsoft YaHei UI"/>
          <w:sz w:val="32"/>
        </w:rPr>
        <w:t>设置在有关单位的人民防空警报设施，由其所在单位维护管理，不得擅自拆除。</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通信、广播、电视系统，应当根据人民防空通信警报保障计划，制定传递、发放防空警报信号方案，确保战时优先传递、发放防空警报信号。</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人民防空行政部门建设通信、警报网所需的电路、频率，电信部门、军队通信部门、无线电管理机构应当予以保障，并按照规定减免有关费用。</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组建群众防空组织的单位应当按照人民防空训练计划组织专业队伍训练，为专业队伍的训练和执行任务提供必要条件，队员在训练和执行任务期间与在岗人员享受同等待遇。</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人民防空教育按照《中华人民共和国国防法》、《中华人民共和国人民防空法》和《贵州省国防教育条例》的规定，由有关单位组织实施。人民防空行政部门应当对人民防空教育加强指导和检查。</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人民防空经费由县级以上人民政府和社会共同负担。</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县级以上人民政府负担的人民防空经费，每年按照不低于上年地方财政收入</w:t>
      </w:r>
      <w:r>
        <w:rPr>
          <w:rStyle w:val="C3"/>
          <w:rFonts w:ascii="仿宋_GB2312" w:hAnsi="仿宋_GB2312"/>
          <w:sz w:val="32"/>
        </w:rPr>
        <w:t>0.5‰</w:t>
      </w:r>
      <w:r>
        <w:rPr>
          <w:rStyle w:val="C3"/>
          <w:rFonts w:ascii="Microsoft YaHei UI" w:hAnsi="Microsoft YaHei UI"/>
          <w:sz w:val="32"/>
        </w:rPr>
        <w:t>的比例列入同级财政年度预算。</w:t>
      </w:r>
    </w:p>
    <w:p>
      <w:pPr>
        <w:pStyle w:val="P1"/>
        <w:spacing w:lineRule="exact" w:line="600"/>
        <w:ind w:firstLine="640"/>
        <w:rPr>
          <w:rStyle w:val="C3"/>
          <w:rFonts w:ascii="仿宋_GB2312" w:hAnsi="仿宋_GB2312"/>
          <w:sz w:val="32"/>
        </w:rPr>
      </w:pPr>
      <w:r>
        <w:rPr>
          <w:rStyle w:val="C3"/>
          <w:rFonts w:ascii="Microsoft YaHei UI" w:hAnsi="Microsoft YaHei UI"/>
          <w:sz w:val="32"/>
        </w:rPr>
        <w:t>社会负担的人民防空费用按照国家和省人民政府的规定执行。</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人民防空行政部门依法收取的防空地下室易地建设费及公用和专用的人民防空工程、设备、设施平战结合使用费等费用，按照预算外资金管理的有关规定，交存同级财政专户管理，全额用于人民防空建设事业，任何单位和个人不得以任何理由隐瞒、截留或者挪用。各级人民防空行政部门要接受同级财政、审计部门和上级人民防空行政部门的监督检查。</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县级以上人民政府和同级军事机关对在人民防空工作中做出显著成绩的单位和个人，给予表彰或者奖励。</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城市新建民用建筑，建设单位违反国家有关规定不修建战时可以用于防空的地下室或者不按照规定缴纳易地建设费的，由县级以上人民防空行政部门对当事人给予警告，并责令其限期修建或者缴纳，并可处以</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违反本条例第十四条第一款和第二款、第十五条、第十八条规定的，由县级以上人民防空行政部门对当事人给予警告，责令其限期改正；逾期不改正的，对个人可处以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元以下罚款，对单位可处以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万元以下罚款；造成损失的，应当依法赔偿。</w:t>
      </w: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阻碍人民防空行政部门依法执行公务的，由公安机关依法处理。</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人民防空行政部门和有关部门的工作人员有下列行为，尚不构成犯罪的，依法给予行政处分：</w:t>
      </w:r>
    </w:p>
    <w:p>
      <w:pPr>
        <w:pStyle w:val="P1"/>
        <w:spacing w:lineRule="exact" w:line="600"/>
        <w:ind w:firstLine="640"/>
        <w:rPr>
          <w:rStyle w:val="C3"/>
          <w:rFonts w:ascii="仿宋_GB2312" w:hAnsi="仿宋_GB2312"/>
          <w:sz w:val="32"/>
        </w:rPr>
      </w:pPr>
      <w:r>
        <w:rPr>
          <w:rStyle w:val="C3"/>
          <w:rFonts w:ascii="Microsoft YaHei UI" w:hAnsi="Microsoft YaHei UI"/>
          <w:sz w:val="32"/>
        </w:rPr>
        <w:t>（一）违反本条例第十一条、第二十四条规定，情节严重的；</w:t>
      </w:r>
    </w:p>
    <w:p>
      <w:pPr>
        <w:pStyle w:val="P1"/>
        <w:spacing w:lineRule="exact" w:line="600"/>
        <w:ind w:firstLine="640"/>
        <w:rPr>
          <w:rStyle w:val="C3"/>
          <w:rFonts w:ascii="仿宋_GB2312" w:hAnsi="仿宋_GB2312"/>
          <w:sz w:val="32"/>
        </w:rPr>
      </w:pPr>
      <w:r>
        <w:rPr>
          <w:rStyle w:val="C3"/>
          <w:rFonts w:ascii="Microsoft YaHei UI" w:hAnsi="Microsoft YaHei UI"/>
          <w:sz w:val="32"/>
        </w:rPr>
        <w:t>（二）玩忽职守、滥用职权、徇私舞弊的。</w:t>
      </w:r>
    </w:p>
    <w:p>
      <w:pPr>
        <w:pStyle w:val="P1"/>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8" w:right="1588" w:top="1814" w:bottom="130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2015-12-14T01:48:00Z</dcterms:created>
  <cp:lastModifiedBy>f1TZOF\f1TZOF-</cp:lastModifiedBy>
  <dcterms:modified xsi:type="dcterms:W3CDTF">2024-08-28T01:35:24Z</dcterms:modified>
  <cp:revision>3</cp:revision>
  <dc:title>贵州省人民防空条例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