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288933" Type="http://schemas.openxmlformats.org/officeDocument/2006/relationships/officeDocument" Target="/word/document.xml" /><Relationship Id="coreR43288933" Type="http://schemas.openxmlformats.org/package/2006/relationships/metadata/core-properties" Target="/docProps/core.xml" /><Relationship Id="customR4328893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left="0"/>
        <w:rPr>
          <w:rStyle w:val="C3"/>
          <w:rFonts w:ascii="仿宋_GB2312" w:hAnsi="仿宋_GB2312"/>
          <w:sz w:val="32"/>
        </w:rPr>
      </w:pPr>
    </w:p>
    <w:p>
      <w:pPr>
        <w:pStyle w:val="P1"/>
        <w:spacing w:lineRule="exact" w:line="560"/>
        <w:jc w:val="center"/>
        <w:rPr>
          <w:rStyle w:val="C3"/>
          <w:rFonts w:ascii="方正小标宋简体" w:hAnsi="方正小标宋简体"/>
          <w:color w:val="000000"/>
          <w:sz w:val="44"/>
        </w:rPr>
      </w:pPr>
      <w:r>
        <w:rPr>
          <w:rStyle w:val="C3"/>
          <w:rFonts w:ascii="Microsoft YaHei UI" w:hAnsi="Microsoft YaHei UI"/>
          <w:color w:val="000000"/>
          <w:sz w:val="44"/>
        </w:rPr>
        <w:t>秦皇岛市沿海防护林条例</w:t>
      </w:r>
    </w:p>
    <w:p>
      <w:pPr>
        <w:pStyle w:val="P1"/>
        <w:spacing w:lineRule="exact" w:line="560"/>
        <w:jc w:val="center"/>
        <w:rPr>
          <w:rStyle w:val="C3"/>
          <w:rFonts w:ascii="方正小标宋简体" w:hAnsi="方正小标宋简体"/>
          <w:color w:val="000000"/>
          <w:sz w:val="44"/>
        </w:rPr>
      </w:pPr>
    </w:p>
    <w:p>
      <w:pPr>
        <w:pStyle w:val="P1"/>
        <w:spacing w:lineRule="exact" w:line="560"/>
        <w:ind w:firstLine="640"/>
        <w:rPr>
          <w:rStyle w:val="C3"/>
          <w:rFonts w:ascii="方正小标宋简体" w:hAnsi="方正小标宋简体"/>
          <w:color w:val="000000"/>
          <w:sz w:val="44"/>
        </w:rPr>
      </w:pPr>
      <w:r>
        <w:rPr>
          <w:rStyle w:val="C3"/>
          <w:rFonts w:ascii="Microsoft YaHei UI" w:hAnsi="Microsoft YaHei UI"/>
          <w:sz w:val="32"/>
        </w:rPr>
        <w:t>（</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29</w:t>
      </w:r>
      <w:r>
        <w:rPr>
          <w:rStyle w:val="C3"/>
          <w:rFonts w:ascii="Microsoft YaHei UI" w:hAnsi="Microsoft YaHei UI"/>
          <w:sz w:val="32"/>
        </w:rPr>
        <w:t>日秦皇岛市第十四届人民代表大会常务委员会第二十七次会议通过</w:t>
      </w:r>
      <w:r>
        <w:rPr>
          <w:rStyle w:val="C3"/>
          <w:rFonts w:ascii="仿宋_GB2312" w:hAnsi="仿宋_GB2312"/>
          <w:sz w:val="32"/>
        </w:rPr>
        <w:t xml:space="preserve">  2020</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日河北省第十三届人民代表大会常务委员会第二十次会议批准）</w:t>
      </w:r>
    </w:p>
    <w:p>
      <w:pPr>
        <w:pStyle w:val="P1"/>
        <w:spacing w:lineRule="exact" w:line="560"/>
        <w:ind w:firstLine="218"/>
        <w:rPr>
          <w:rStyle w:val="C3"/>
          <w:rFonts w:ascii="宋体" w:hAnsi="宋体"/>
          <w:color w:val="000000"/>
          <w:sz w:val="32"/>
        </w:rPr>
      </w:pPr>
    </w:p>
    <w:p>
      <w:pPr>
        <w:pStyle w:val="P1"/>
        <w:ind w:left="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ind w:firstLine="640"/>
        <w:rPr>
          <w:rStyle w:val="C3"/>
          <w:rFonts w:ascii="仿宋_GB2312" w:hAnsi="仿宋_GB2312"/>
          <w:color w:val="000000"/>
          <w:sz w:val="32"/>
        </w:rPr>
      </w:pPr>
      <w:r>
        <w:rPr>
          <w:rStyle w:val="C3"/>
          <w:rFonts w:ascii="Microsoft YaHei UI" w:hAnsi="Microsoft YaHei UI"/>
          <w:color w:val="000000"/>
          <w:sz w:val="32"/>
        </w:rPr>
        <w:t>第一章</w:t>
      </w:r>
      <w:r>
        <w:rPr>
          <w:rStyle w:val="C3"/>
          <w:rFonts w:ascii="仿宋_GB2312" w:hAnsi="仿宋_GB2312"/>
          <w:color w:val="000000"/>
          <w:sz w:val="32"/>
        </w:rPr>
        <w:t xml:space="preserve">  </w:t>
      </w:r>
      <w:r>
        <w:rPr>
          <w:rStyle w:val="C3"/>
          <w:rFonts w:ascii="Microsoft YaHei UI" w:hAnsi="Microsoft YaHei UI"/>
          <w:color w:val="000000"/>
          <w:sz w:val="32"/>
        </w:rPr>
        <w:t>总</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1"/>
        <w:ind w:firstLine="640"/>
        <w:rPr>
          <w:rStyle w:val="C3"/>
          <w:rFonts w:ascii="仿宋_GB2312" w:hAnsi="仿宋_GB2312"/>
          <w:color w:val="000000"/>
          <w:sz w:val="32"/>
        </w:rPr>
      </w:pPr>
      <w:r>
        <w:rPr>
          <w:rStyle w:val="C3"/>
          <w:rFonts w:ascii="Microsoft YaHei UI" w:hAnsi="Microsoft YaHei UI"/>
          <w:color w:val="000000"/>
          <w:sz w:val="32"/>
        </w:rPr>
        <w:t>第二章</w:t>
      </w:r>
      <w:r>
        <w:rPr>
          <w:rStyle w:val="C3"/>
          <w:rFonts w:ascii="仿宋_GB2312" w:hAnsi="仿宋_GB2312"/>
          <w:color w:val="000000"/>
          <w:sz w:val="32"/>
        </w:rPr>
        <w:t xml:space="preserve">  </w:t>
      </w:r>
      <w:r>
        <w:rPr>
          <w:rStyle w:val="C3"/>
          <w:rFonts w:ascii="Microsoft YaHei UI" w:hAnsi="Microsoft YaHei UI"/>
          <w:color w:val="000000"/>
          <w:sz w:val="32"/>
        </w:rPr>
        <w:t>规划与建设</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第三章</w:t>
      </w:r>
      <w:r>
        <w:rPr>
          <w:rStyle w:val="C3"/>
          <w:rFonts w:ascii="仿宋_GB2312" w:hAnsi="仿宋_GB2312"/>
          <w:color w:val="000000"/>
          <w:sz w:val="32"/>
        </w:rPr>
        <w:t xml:space="preserve">  </w:t>
      </w:r>
      <w:r>
        <w:rPr>
          <w:rStyle w:val="C3"/>
          <w:rFonts w:ascii="Microsoft YaHei UI" w:hAnsi="Microsoft YaHei UI"/>
          <w:color w:val="000000"/>
          <w:sz w:val="32"/>
        </w:rPr>
        <w:t>管理与保护</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第四章</w:t>
      </w:r>
      <w:r>
        <w:rPr>
          <w:rStyle w:val="C3"/>
          <w:rFonts w:ascii="仿宋_GB2312" w:hAnsi="仿宋_GB2312"/>
          <w:color w:val="000000"/>
          <w:sz w:val="32"/>
        </w:rPr>
        <w:t xml:space="preserve">  </w:t>
      </w:r>
      <w:r>
        <w:rPr>
          <w:rStyle w:val="C3"/>
          <w:rFonts w:ascii="Microsoft YaHei UI" w:hAnsi="Microsoft YaHei UI"/>
          <w:color w:val="000000"/>
          <w:sz w:val="32"/>
        </w:rPr>
        <w:t>法律责任</w:t>
      </w:r>
    </w:p>
    <w:p>
      <w:pPr>
        <w:pStyle w:val="P1"/>
        <w:ind w:firstLine="640"/>
        <w:rPr>
          <w:rStyle w:val="C3"/>
          <w:rFonts w:ascii="仿宋_GB2312" w:hAnsi="仿宋_GB2312"/>
          <w:color w:val="000000"/>
          <w:sz w:val="30"/>
        </w:rPr>
      </w:pPr>
      <w:r>
        <w:rPr>
          <w:rStyle w:val="C3"/>
          <w:rFonts w:ascii="Microsoft YaHei UI" w:hAnsi="Microsoft YaHei UI"/>
          <w:color w:val="000000"/>
          <w:sz w:val="32"/>
        </w:rPr>
        <w:t>第五章</w:t>
      </w:r>
      <w:r>
        <w:rPr>
          <w:rStyle w:val="C3"/>
          <w:rFonts w:ascii="仿宋_GB2312" w:hAnsi="仿宋_GB2312"/>
          <w:color w:val="000000"/>
          <w:sz w:val="32"/>
        </w:rPr>
        <w:t xml:space="preserve">  </w:t>
      </w:r>
      <w:r>
        <w:rPr>
          <w:rStyle w:val="C3"/>
          <w:rFonts w:ascii="Microsoft YaHei UI" w:hAnsi="Microsoft YaHei UI"/>
          <w:color w:val="000000"/>
          <w:sz w:val="32"/>
        </w:rPr>
        <w:t>附</w:t>
      </w:r>
      <w:r>
        <w:rPr>
          <w:rStyle w:val="C3"/>
          <w:rFonts w:ascii="仿宋_GB2312" w:hAnsi="仿宋_GB2312"/>
          <w:color w:val="000000"/>
          <w:sz w:val="32"/>
        </w:rPr>
        <w:t xml:space="preserve">  </w:t>
      </w:r>
      <w:r>
        <w:rPr>
          <w:rStyle w:val="C3"/>
          <w:rFonts w:ascii="Microsoft YaHei UI" w:hAnsi="Microsoft YaHei UI"/>
          <w:color w:val="000000"/>
          <w:sz w:val="32"/>
        </w:rPr>
        <w:t>则</w:t>
      </w:r>
      <w:r>
        <w:rPr>
          <w:rStyle w:val="C3"/>
          <w:rFonts w:ascii="仿宋_GB2312" w:hAnsi="仿宋_GB2312"/>
          <w:color w:val="000000"/>
          <w:sz w:val="30"/>
        </w:rPr>
        <w:t xml:space="preserve"> </w:t>
      </w:r>
    </w:p>
    <w:p>
      <w:pPr>
        <w:pStyle w:val="P1"/>
        <w:rPr>
          <w:rStyle w:val="C3"/>
          <w:rFonts w:ascii="仿宋_GB2312" w:hAnsi="仿宋_GB2312"/>
          <w:color w:val="000000"/>
          <w:sz w:val="30"/>
        </w:rPr>
      </w:pPr>
    </w:p>
    <w:p>
      <w:pPr>
        <w:pStyle w:val="P1"/>
        <w:ind w:left="0"/>
        <w:jc w:val="center"/>
        <w:rPr>
          <w:rStyle w:val="C3"/>
          <w:rFonts w:ascii="黑体" w:hAnsi="黑体"/>
          <w:color w:val="000000"/>
          <w:sz w:val="32"/>
        </w:rPr>
      </w:pPr>
      <w:r>
        <w:rPr>
          <w:rStyle w:val="C3"/>
          <w:rFonts w:ascii="黑体" w:hAnsi="黑体"/>
          <w:color w:val="000000"/>
          <w:sz w:val="32"/>
        </w:rPr>
        <w:t xml:space="preserve">第一章  总  则</w:t>
      </w:r>
    </w:p>
    <w:p>
      <w:pPr>
        <w:pStyle w:val="P1"/>
        <w:ind w:firstLine="640" w:left="0"/>
        <w:rPr>
          <w:rStyle w:val="C3"/>
          <w:rFonts w:ascii="仿宋_GB2312" w:hAnsi="仿宋_GB2312"/>
          <w:color w:val="000000"/>
          <w:sz w:val="32"/>
        </w:rPr>
      </w:pPr>
    </w:p>
    <w:p>
      <w:pPr>
        <w:pStyle w:val="P1"/>
        <w:ind w:firstLine="640" w:left="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践行绿水青山就是金山银山理念，加强沿海防护林的规划、建设、管理和保护，保障沿海防护林生态安全，改善沿海生态环境，建设生态文明，根据《中华人民共和国森林法》《中华人民共和国环境保护法》等有关法律、法规，结合本市实际，制定本条例。</w:t>
      </w:r>
    </w:p>
    <w:p>
      <w:pPr>
        <w:pStyle w:val="P1"/>
        <w:ind w:firstLine="640" w:left="0"/>
        <w:rPr>
          <w:rStyle w:val="C3"/>
          <w:rFonts w:ascii="仿宋_GB2312" w:hAnsi="仿宋_GB2312"/>
          <w:color w:val="000000"/>
          <w:sz w:val="32"/>
        </w:rPr>
      </w:pPr>
      <w:r>
        <w:rPr>
          <w:rStyle w:val="C3"/>
          <w:rFonts w:ascii="黑体" w:hAnsi="黑体"/>
          <w:color w:val="000000"/>
          <w:sz w:val="32"/>
        </w:rPr>
        <w:t xml:space="preserve">第二条 </w:t>
      </w:r>
      <w:r>
        <w:rPr>
          <w:rStyle w:val="C3"/>
          <w:rFonts w:ascii="仿宋_GB2312" w:hAnsi="仿宋_GB2312"/>
          <w:color w:val="000000"/>
          <w:sz w:val="32"/>
        </w:rPr>
        <w:t xml:space="preserve"> </w:t>
      </w:r>
      <w:r>
        <w:rPr>
          <w:rStyle w:val="C3"/>
          <w:rFonts w:ascii="Microsoft YaHei UI" w:hAnsi="Microsoft YaHei UI"/>
          <w:color w:val="000000"/>
          <w:sz w:val="32"/>
        </w:rPr>
        <w:t>本条例所称沿海防护林，是指在本市海岸高潮线起向陆地延伸一千米范围内和本市沿海国有林场范围内建立的，以防风固沙、水土保持和生物多样性保护为主要功能的沿海森林生态防御体系，具体边界范围由《秦皇岛市沿海防护林保护利用规划》界定。</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除上述范围外，符合全国沿海防护林体系建设工程规划的纵深防护林，应当纳入《秦皇岛市沿海防护林保护利用规划》，依据国家、省有关法律、法规规定落实建设、管理和保护措施。</w:t>
      </w:r>
    </w:p>
    <w:p>
      <w:pPr>
        <w:pStyle w:val="P1"/>
        <w:ind w:firstLine="640" w:left="0"/>
        <w:rPr>
          <w:rStyle w:val="C3"/>
          <w:rFonts w:ascii="仿宋_GB2312" w:hAnsi="仿宋_GB2312"/>
          <w:color w:val="000000"/>
          <w:sz w:val="32"/>
        </w:rPr>
      </w:pPr>
      <w:r>
        <w:rPr>
          <w:rStyle w:val="C3"/>
          <w:rFonts w:ascii="黑体" w:hAnsi="黑体"/>
          <w:color w:val="000000"/>
          <w:sz w:val="32"/>
        </w:rPr>
        <w:t xml:space="preserve">第三条 </w:t>
      </w:r>
      <w:r>
        <w:rPr>
          <w:rStyle w:val="C3"/>
          <w:rFonts w:ascii="仿宋_GB2312" w:hAnsi="仿宋_GB2312"/>
          <w:color w:val="000000"/>
          <w:sz w:val="32"/>
        </w:rPr>
        <w:t xml:space="preserve"> </w:t>
      </w:r>
      <w:r>
        <w:rPr>
          <w:rStyle w:val="C3"/>
          <w:rFonts w:ascii="Microsoft YaHei UI" w:hAnsi="Microsoft YaHei UI"/>
          <w:color w:val="000000"/>
          <w:sz w:val="32"/>
        </w:rPr>
        <w:t>沿海防护林规划、建设、管理和保护实行政府主导、社会参与、生态优先、统一规划、科学管理、严格保护的原则，确保沿海防护林生态功能不降低、森林资源不减少。</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自然保护区、风景名胜区、森林公园、湿地公园等各类保护地内沿海防护林的保护，应当同时符合各类保护地的有关法律、法规规定，保护标准不一致的，应当按照</w:t>
      </w:r>
      <w:r>
        <w:rPr>
          <w:rStyle w:val="C3"/>
          <w:rFonts w:ascii="仿宋_GB2312" w:hAnsi="仿宋_GB2312"/>
          <w:color w:val="000000"/>
          <w:sz w:val="32"/>
        </w:rPr>
        <w:t>“</w:t>
      </w:r>
      <w:r>
        <w:rPr>
          <w:rStyle w:val="C3"/>
          <w:rFonts w:ascii="Microsoft YaHei UI" w:hAnsi="Microsoft YaHei UI"/>
          <w:color w:val="000000"/>
          <w:sz w:val="32"/>
        </w:rPr>
        <w:t>就高不就低</w:t>
      </w:r>
      <w:r>
        <w:rPr>
          <w:rStyle w:val="C3"/>
          <w:rFonts w:ascii="仿宋_GB2312" w:hAnsi="仿宋_GB2312"/>
          <w:color w:val="000000"/>
          <w:sz w:val="32"/>
        </w:rPr>
        <w:t>”</w:t>
      </w:r>
      <w:r>
        <w:rPr>
          <w:rStyle w:val="C3"/>
          <w:rFonts w:ascii="Microsoft YaHei UI" w:hAnsi="Microsoft YaHei UI"/>
          <w:color w:val="000000"/>
          <w:sz w:val="32"/>
        </w:rPr>
        <w:t>的原则，执行最严格的规定。</w:t>
      </w:r>
    </w:p>
    <w:p>
      <w:pPr>
        <w:pStyle w:val="P1"/>
        <w:ind w:firstLine="640" w:left="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市、县（区）人民政府应当将沿海防护林的建设、管理和保护纳入本级国民经济和社会发展规划，调整完善财政、投资、产业等配套政策，并将建设、管理和保护经费纳入本级财政预算。</w:t>
      </w:r>
    </w:p>
    <w:p>
      <w:pPr>
        <w:pStyle w:val="P1"/>
        <w:ind w:firstLine="640" w:left="0"/>
        <w:rPr>
          <w:rStyle w:val="C3"/>
          <w:rFonts w:ascii="仿宋_GB2312" w:hAnsi="仿宋_GB2312"/>
          <w:color w:val="000000"/>
          <w:sz w:val="32"/>
        </w:rPr>
      </w:pPr>
      <w:r>
        <w:rPr>
          <w:rStyle w:val="C3"/>
          <w:rFonts w:ascii="黑体" w:hAnsi="黑体"/>
          <w:color w:val="000000"/>
          <w:sz w:val="32"/>
        </w:rPr>
        <w:t xml:space="preserve">第五条 </w:t>
      </w:r>
      <w:r>
        <w:rPr>
          <w:rStyle w:val="C3"/>
          <w:rFonts w:ascii="仿宋_GB2312" w:hAnsi="仿宋_GB2312"/>
          <w:color w:val="000000"/>
          <w:sz w:val="32"/>
        </w:rPr>
        <w:t xml:space="preserve"> </w:t>
      </w:r>
      <w:r>
        <w:rPr>
          <w:rStyle w:val="C3"/>
          <w:rFonts w:ascii="Microsoft YaHei UI" w:hAnsi="Microsoft YaHei UI"/>
          <w:color w:val="000000"/>
          <w:sz w:val="32"/>
        </w:rPr>
        <w:t>各级人民政府对沿海防护林的建设、管理和保护，实行以森林保有量和森林质量为主要内容的目标管理责任制。沿海防护林建设、管理和保护工作成效纳入人民政府领导任期考核内容。</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市、县（区）人民政府应当每年</w:t>
      </w:r>
      <w:r>
        <w:rPr>
          <w:rStyle w:val="C3"/>
          <w:rFonts w:ascii="仿宋_GB2312" w:hAnsi="仿宋_GB2312"/>
          <w:color w:val="000000"/>
          <w:sz w:val="32"/>
        </w:rPr>
        <w:t>12</w:t>
      </w:r>
      <w:r>
        <w:rPr>
          <w:rStyle w:val="C3"/>
          <w:rFonts w:ascii="Microsoft YaHei UI" w:hAnsi="Microsoft YaHei UI"/>
          <w:color w:val="000000"/>
          <w:sz w:val="32"/>
        </w:rPr>
        <w:t>月份向本级人民代表大会常务委员会报告当年沿海防护林资源变化和建设、管理、保护工作开展情况。涉及林地转为建设用地的，应当在报告中详细说明。</w:t>
      </w:r>
    </w:p>
    <w:p>
      <w:pPr>
        <w:pStyle w:val="P1"/>
        <w:ind w:firstLine="640" w:left="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市、县（区）林业行政主管部门负责本行政区域内的沿海防护林的规划、建设、管理和保护工作。</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生态环境、资源规划、海洋、水、应急等行政主管部门应当按照各自职责，共同做好沿海防护林的规划、建设、管理和保护工作。</w:t>
      </w:r>
    </w:p>
    <w:p>
      <w:pPr>
        <w:pStyle w:val="P1"/>
        <w:ind w:firstLine="640" w:left="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市、县（区）人民政府应当将沿海防护林建设纳入植树造林计划，积极引导和支持社会力量通过植树造林、抚育管护、认建认养等方式参与沿海防护林建设；应当开展沿海防护林科学研究和科普宣传活动，推广应用先进技术，提高沿海防护林的综合效能。</w:t>
      </w:r>
    </w:p>
    <w:p>
      <w:pPr>
        <w:pStyle w:val="P1"/>
        <w:ind w:firstLine="640" w:left="0"/>
        <w:rPr>
          <w:rStyle w:val="C3"/>
          <w:rFonts w:ascii="仿宋_GB2312" w:hAnsi="仿宋_GB2312"/>
          <w:color w:val="000000"/>
          <w:sz w:val="32"/>
        </w:rPr>
      </w:pPr>
      <w:r>
        <w:rPr>
          <w:rStyle w:val="C3"/>
          <w:rFonts w:ascii="黑体" w:hAnsi="黑体"/>
          <w:color w:val="000000"/>
          <w:sz w:val="32"/>
        </w:rPr>
        <w:t xml:space="preserve">第八条 </w:t>
      </w:r>
      <w:r>
        <w:rPr>
          <w:rStyle w:val="C3"/>
          <w:rFonts w:ascii="仿宋_GB2312" w:hAnsi="仿宋_GB2312"/>
          <w:color w:val="000000"/>
          <w:sz w:val="32"/>
        </w:rPr>
        <w:t xml:space="preserve"> </w:t>
      </w:r>
      <w:r>
        <w:rPr>
          <w:rStyle w:val="C3"/>
          <w:rFonts w:ascii="Microsoft YaHei UI" w:hAnsi="Microsoft YaHei UI"/>
          <w:color w:val="000000"/>
          <w:sz w:val="32"/>
        </w:rPr>
        <w:t>任何单位和个人都有保护沿海防护林的义务，对破坏沿海防护林的违法行为，有权制止和检举。</w:t>
      </w:r>
    </w:p>
    <w:p>
      <w:pPr>
        <w:pStyle w:val="P1"/>
        <w:ind w:firstLine="640" w:left="0"/>
        <w:rPr>
          <w:rStyle w:val="C3"/>
          <w:rFonts w:ascii="仿宋_GB2312" w:hAnsi="仿宋_GB2312"/>
          <w:color w:val="000000"/>
          <w:sz w:val="32"/>
        </w:rPr>
      </w:pPr>
      <w:r>
        <w:rPr>
          <w:rStyle w:val="C3"/>
          <w:rFonts w:ascii="黑体" w:hAnsi="黑体"/>
          <w:color w:val="000000"/>
          <w:sz w:val="32"/>
        </w:rPr>
        <w:t xml:space="preserve">第九条 </w:t>
      </w:r>
      <w:r>
        <w:rPr>
          <w:rStyle w:val="C3"/>
          <w:rFonts w:ascii="仿宋_GB2312" w:hAnsi="仿宋_GB2312"/>
          <w:color w:val="000000"/>
          <w:sz w:val="32"/>
        </w:rPr>
        <w:t xml:space="preserve"> </w:t>
      </w:r>
      <w:r>
        <w:rPr>
          <w:rStyle w:val="C3"/>
          <w:rFonts w:ascii="Microsoft YaHei UI" w:hAnsi="Microsoft YaHei UI"/>
          <w:color w:val="000000"/>
          <w:sz w:val="32"/>
        </w:rPr>
        <w:t>在沿海防护林建设、管理和保护工作中成绩显著的单位和个人，按照国家有关规定给予表彰、奖励。</w:t>
      </w:r>
    </w:p>
    <w:p>
      <w:pPr>
        <w:pStyle w:val="P1"/>
        <w:ind w:left="0"/>
        <w:jc w:val="center"/>
        <w:rPr>
          <w:rStyle w:val="C3"/>
          <w:rFonts w:ascii="仿宋_GB2312" w:hAnsi="仿宋_GB2312"/>
          <w:color w:val="000000"/>
          <w:sz w:val="32"/>
        </w:rPr>
      </w:pPr>
    </w:p>
    <w:p>
      <w:pPr>
        <w:pStyle w:val="P1"/>
        <w:ind w:firstLine="11" w:left="0"/>
        <w:jc w:val="center"/>
        <w:rPr>
          <w:rStyle w:val="C3"/>
          <w:rFonts w:ascii="黑体" w:hAnsi="黑体"/>
          <w:color w:val="000000"/>
          <w:sz w:val="32"/>
        </w:rPr>
      </w:pPr>
      <w:r>
        <w:rPr>
          <w:rStyle w:val="C3"/>
          <w:rFonts w:ascii="黑体" w:hAnsi="黑体"/>
          <w:color w:val="000000"/>
          <w:sz w:val="32"/>
        </w:rPr>
        <w:t xml:space="preserve">第二章  规划与建设</w:t>
      </w:r>
    </w:p>
    <w:p>
      <w:pPr>
        <w:pStyle w:val="P1"/>
        <w:ind w:left="0"/>
        <w:jc w:val="center"/>
        <w:rPr>
          <w:rStyle w:val="C3"/>
          <w:rFonts w:ascii="黑体" w:hAnsi="黑体"/>
          <w:color w:val="000000"/>
          <w:sz w:val="32"/>
        </w:rPr>
      </w:pPr>
    </w:p>
    <w:p>
      <w:pPr>
        <w:pStyle w:val="P1"/>
        <w:ind w:firstLine="640" w:left="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市林业行政主管部门应当会同资源规划行政主管部门编制市沿海防护林保护利用规划，报市人民政府批准后执行。经批准的沿海防护林保护利用规划不得擅自调整，确需调整的，应当符合国家、省有关法律、法规和本条例规定，并经市人民政府批准。</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沿海防护林保护利用规划应当依据本条例第二条、第十二条的规定界定保护范围和禁止开发区域。</w:t>
      </w:r>
    </w:p>
    <w:p>
      <w:pPr>
        <w:pStyle w:val="P1"/>
        <w:ind w:firstLine="640" w:left="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县（区）林业行政主管部门应当依据市沿海防护林保护利用规划制定本行政区域沿海防护林保护利用实施方案，经县（区）人民政府批准后执行并报市林业行政主管部门备案。</w:t>
      </w:r>
    </w:p>
    <w:p>
      <w:pPr>
        <w:pStyle w:val="P1"/>
        <w:ind w:firstLine="640" w:left="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本市下列区域范围内的沿海防护林林地为禁止开发区域，严禁不符合沿海防护林功能定位的各类开发建设活动：</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（一）法律、法规规定的禁止开发区域；</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（二）国家、河北省生态保护红线划定的禁止开发区域；</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（三）沿海国家特殊保护林带；</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（四）自海岸高潮线起向陆地延伸一千米范围内的国有有林地和划定为公益林的非国有有林地；</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（五）沿海国有林场范围内的有林地；</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（六）市人民政府根据生态文明建设要求，认为应当禁止开发的区域。</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本条例实施前，前款第一项、第二项、第三项之外的沿海防护林林地已经办理了土地转用手续的，可以不纳入禁止开发区域。</w:t>
      </w:r>
    </w:p>
    <w:p>
      <w:pPr>
        <w:pStyle w:val="P1"/>
        <w:ind w:firstLine="640" w:left="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沿海防护林建设应当坚持生态优先的原则，采取建设生态景观林的方式，建成常绿树种与落叶树种互补、乔木林与灌木林并存、乔灌花草相结合的多树种、多类型、多景观、多功能的森林生态防御体系。</w:t>
      </w:r>
    </w:p>
    <w:p>
      <w:pPr>
        <w:pStyle w:val="P1"/>
        <w:ind w:firstLine="640" w:left="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营造沿海防护林应当执行国家林业行政主管部门发布的有关造林技术规程，做到适地适树、细致整地、良种壮苗、密度合理、精心栽植、适时抚育，当年成活率应当不低于百分之八十五，三年后保存率应当不低于百分之八十。</w:t>
      </w:r>
    </w:p>
    <w:p>
      <w:pPr>
        <w:pStyle w:val="P1"/>
        <w:ind w:firstLine="640" w:left="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沿海防护林建设依据国家沿海防护林体系建设工程规划的标准实施，确保沿海防护林断带补齐、窄带加宽、弱带加强。</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自本市海岸高潮线起向陆地延伸一千米范围内的非林地优先实施造林，结合沟、渠、河堤、道路和农田林网等，因地制宜，完善林带建设。</w:t>
      </w:r>
    </w:p>
    <w:p>
      <w:pPr>
        <w:pStyle w:val="P1"/>
        <w:ind w:firstLine="640" w:left="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市、县（区）人民政府应当加强沿海防护林的权属管理，由不动产登记机构对林地和林地上的森林、林木的所有权、使用权，统一登记造册，核发证书。</w:t>
      </w:r>
    </w:p>
    <w:p>
      <w:pPr>
        <w:pStyle w:val="P1"/>
        <w:ind w:firstLine="640" w:left="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市、县（区）人民政府应当建立造林补贴和森林生态效益补偿制度，以多种方式对沿海防护林投资建设和管护者给予合理补贴、补偿，逐步完善沿海防护林造林投入和管护方式。</w:t>
      </w:r>
    </w:p>
    <w:p>
      <w:pPr>
        <w:pStyle w:val="P1"/>
        <w:ind w:firstLine="640" w:left="0"/>
        <w:rPr>
          <w:rStyle w:val="C3"/>
          <w:rFonts w:ascii="仿宋_GB2312" w:hAnsi="仿宋_GB2312"/>
          <w:color w:val="000000"/>
          <w:sz w:val="32"/>
        </w:rPr>
      </w:pPr>
    </w:p>
    <w:p>
      <w:pPr>
        <w:pStyle w:val="P1"/>
        <w:ind w:hanging="438" w:left="438"/>
        <w:jc w:val="center"/>
        <w:rPr>
          <w:rStyle w:val="C3"/>
          <w:rFonts w:ascii="黑体" w:hAnsi="黑体"/>
          <w:color w:val="000000"/>
          <w:sz w:val="32"/>
        </w:rPr>
      </w:pPr>
      <w:r>
        <w:rPr>
          <w:rStyle w:val="C3"/>
          <w:rFonts w:ascii="黑体" w:hAnsi="黑体"/>
          <w:color w:val="000000"/>
          <w:sz w:val="32"/>
        </w:rPr>
        <w:t xml:space="preserve">第三章  管理与保护</w:t>
      </w:r>
    </w:p>
    <w:p>
      <w:pPr>
        <w:pStyle w:val="P1"/>
        <w:ind w:firstLine="800" w:left="0"/>
        <w:rPr>
          <w:rStyle w:val="C3"/>
          <w:rFonts w:ascii="仿宋_GB2312" w:hAnsi="仿宋_GB2312"/>
          <w:color w:val="000000"/>
          <w:sz w:val="32"/>
        </w:rPr>
      </w:pPr>
    </w:p>
    <w:p>
      <w:pPr>
        <w:pStyle w:val="P1"/>
        <w:ind w:firstLine="640" w:left="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划定为沿海防护林后，不改变原有林地和林地上的森林、林木的权属主体。市、县（区）林业行政主管部门或者其委托单位应当与林权权利人签订管护责任书或者管护协议，明确沿海防护林管护中各方的权利、义务，约定管护责任。</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权属为国家的沿海防护林，管护责任主体为国有林场、自然保护区、森林公园以及其他国有森林经营单位。</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权属为集体的沿海防护林，管护责任主体为集体经济组织。</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权属为个人的沿海防护林，管护责任由其所有者或者经营者承担。无管护能力、自愿委托管护或者拒不履行管护责任的，可由县（区）林业行政主管部门或者其委托的单位，对其沿海防护林进行统一管护，代为履行管护责任，代为履行管护的费用由沿海防护林的所有者或者经营者承担。</w:t>
      </w:r>
    </w:p>
    <w:p>
      <w:pPr>
        <w:pStyle w:val="P1"/>
        <w:ind w:firstLine="640" w:left="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任何单位和个人不得非法改变沿海防护林林地用途。市、县（区）人民政府应当加强沿海防护林林地用途管制，拆除违法建筑，并依据本条例第十三条、第十四条、第十五条规定植树造林。</w:t>
      </w:r>
    </w:p>
    <w:p>
      <w:pPr>
        <w:pStyle w:val="P1"/>
        <w:ind w:firstLine="640" w:left="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县（区）人民政府应当在沿海防护林边界设置保护标志，任何单位和个人不得破坏或者擅自移动沿海防护林保护标志。</w:t>
      </w:r>
    </w:p>
    <w:p>
      <w:pPr>
        <w:pStyle w:val="P1"/>
        <w:ind w:firstLine="640" w:left="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各类建设项目原则上不得占用沿海防护林林地。</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因经济社会发展特殊需要，建设项目必须占用本条例第十二条规定的禁止开发区域以外的沿海防护林林地的，应当严格依据国家、省有关法律、法规规定和生态环境保护政策要求，办理相关手续，缴纳相关费用。</w:t>
      </w:r>
    </w:p>
    <w:p>
      <w:pPr>
        <w:pStyle w:val="P1"/>
        <w:ind w:firstLine="640" w:left="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占用林地的单位按照国家规定标准缴纳的森林植被恢复费，应当由市、县（区）林业行政主管部门专项用于在《秦皇岛市沿海防护林保护利用规划》的范围内补植。补植面积应当不低于所占用林地面积。</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补植沿海防护林应当符合本条例第十四条规定的有关要求，补植面积超过五公顷的，县（区）林业行政主管部门应当拟定补植方案，并提请市林业行政主管部门批准。</w:t>
      </w:r>
    </w:p>
    <w:p>
      <w:pPr>
        <w:pStyle w:val="P1"/>
        <w:ind w:firstLine="640" w:left="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因管道、管线施工等原因，经论证无法避让，确需临时使用沿海防护林林地的，应当经市、县（区）林业行政主管部门批准。</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临时使用沿海防护林林地期限不得超过两年，并不得在临时使用的林地上修建永久性建筑物。临时使用林地期满，用地单位或者个人应当归还林地并在一年内恢复植被和林业生产条件。</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不能恢复植被和林业生产条件的临时使用林地项目，不得使用沿海防护林林地。</w:t>
      </w:r>
    </w:p>
    <w:p>
      <w:pPr>
        <w:pStyle w:val="P1"/>
        <w:ind w:firstLine="640" w:left="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在沿海防护林内从事各种活动不得妨害林木的生长，不得造成土地沙化、盐碱化、水土流失和地下水超采，不得破坏沿海防护林的生长环境和防护效能。</w:t>
      </w:r>
    </w:p>
    <w:p>
      <w:pPr>
        <w:pStyle w:val="P1"/>
        <w:ind w:firstLine="640" w:left="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在不改变沿海防护林林地性质、不破坏沿海防护林生态系统功能和森林植被，并符合各类保护地有关法律、法规规定的前提下，经市林业行政主管部门组织专家组评审论证，可以合理利用沿海防护林林地资源和森林景观资源，适度开展林下经济和森林旅游。</w:t>
      </w:r>
    </w:p>
    <w:p>
      <w:pPr>
        <w:pStyle w:val="P1"/>
        <w:ind w:firstLine="640" w:left="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禁止下列破坏沿海防护林的行为：</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（一）毁林开垦、采石、采砂、采土、建坟、修建建（构）筑物等毁坏林木和林地的行为；</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（二）非法采伐林木的行为；</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（三）在幼林地砍柴、毁苗、放牧的行为；</w:t>
      </w:r>
      <w:r>
        <w:rPr>
          <w:rStyle w:val="C3"/>
          <w:rFonts w:ascii="仿宋_GB2312" w:hAnsi="仿宋_GB2312"/>
          <w:color w:val="000000"/>
          <w:sz w:val="32"/>
        </w:rPr>
        <w:t xml:space="preserve"> </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（四）向林地排放重金属或者其他有毒有害物质含量超标的污水、污泥，以及可能造成林地污染的清淤底泥、尾矿、矿渣等行为；</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（五）其他破坏沿海防护林的行为。</w:t>
      </w:r>
    </w:p>
    <w:p>
      <w:pPr>
        <w:pStyle w:val="P1"/>
        <w:ind w:firstLine="640" w:left="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沿海防护林的抚育或者更新采伐由市、县（区）林业行政主管部门批准并办理林木采伐许可手续，采伐量不得超过批准的年采伐限额。</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经许可对沿海防护林进行更新采伐的，应当在当年或者次年完成更新造林任务，新造林的面积和株数不得少于采伐的面积和株数。</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沿海防护林抚育采伐应当采取单株择伐方式，采伐强度不超过林木蓄积量的百分之二十，采伐后保留的郁闭度不低于</w:t>
      </w:r>
      <w:r>
        <w:rPr>
          <w:rStyle w:val="C3"/>
          <w:rFonts w:ascii="仿宋_GB2312" w:hAnsi="仿宋_GB2312"/>
          <w:color w:val="000000"/>
          <w:sz w:val="32"/>
        </w:rPr>
        <w:t>0.5</w:t>
      </w:r>
      <w:r>
        <w:rPr>
          <w:rStyle w:val="C3"/>
          <w:rFonts w:ascii="Microsoft YaHei UI" w:hAnsi="Microsoft YaHei UI"/>
          <w:color w:val="000000"/>
          <w:sz w:val="32"/>
        </w:rPr>
        <w:t>。</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因低质低效林改造、自然灾害等原因不能依照前款规定采伐的，由县（区）林业行政主管部门提出实施方案，报市林业行政主管部门审批。</w:t>
      </w:r>
    </w:p>
    <w:p>
      <w:pPr>
        <w:pStyle w:val="P1"/>
        <w:ind w:firstLine="640" w:left="0"/>
        <w:rPr>
          <w:rStyle w:val="C3"/>
          <w:rFonts w:ascii="仿宋_GB2312" w:hAnsi="仿宋_GB2312"/>
          <w:color w:val="000000"/>
          <w:sz w:val="32"/>
        </w:rPr>
      </w:pPr>
      <w:r>
        <w:rPr>
          <w:rStyle w:val="C3"/>
          <w:rFonts w:ascii="黑体" w:hAnsi="黑体"/>
          <w:color w:val="000000"/>
          <w:sz w:val="32"/>
        </w:rPr>
        <w:t xml:space="preserve">第二十八条 </w:t>
      </w:r>
      <w:r>
        <w:rPr>
          <w:rStyle w:val="C3"/>
          <w:rFonts w:ascii="仿宋_GB2312" w:hAnsi="仿宋_GB2312"/>
          <w:color w:val="000000"/>
          <w:sz w:val="32"/>
        </w:rPr>
        <w:t xml:space="preserve"> </w:t>
      </w:r>
      <w:r>
        <w:rPr>
          <w:rStyle w:val="C3"/>
          <w:rFonts w:ascii="Microsoft YaHei UI" w:hAnsi="Microsoft YaHei UI"/>
          <w:color w:val="000000"/>
          <w:sz w:val="32"/>
        </w:rPr>
        <w:t>各级人民政府应当组织有关部门做好沿海防护林火灾的预防、扑救工作，并落实防火责任。</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沿海防护林的经营单位和个人，应当在其经营范围内承担森林防火责任。</w:t>
      </w:r>
    </w:p>
    <w:p>
      <w:pPr>
        <w:pStyle w:val="P1"/>
        <w:ind w:firstLine="640" w:left="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市、县（区）林业行政主管部门应当加强对沿海防护林有害生物的监测、检疫和防治工作。</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沿海防护林发生有害生物灾害时，经营者应当及时除治，防止有害生物灾害蔓延，并报告当地林业行政主管部门。沿海防护林发生暴发性、危险性等重大有害生物灾害时，当地人民政府应当及时组织除治。</w:t>
      </w:r>
    </w:p>
    <w:p>
      <w:pPr>
        <w:pStyle w:val="P1"/>
        <w:ind w:left="0"/>
        <w:jc w:val="center"/>
        <w:rPr>
          <w:rStyle w:val="C3"/>
          <w:rFonts w:ascii="黑体" w:hAnsi="黑体"/>
          <w:color w:val="000000"/>
          <w:sz w:val="32"/>
        </w:rPr>
      </w:pPr>
    </w:p>
    <w:p>
      <w:pPr>
        <w:pStyle w:val="P1"/>
        <w:ind w:left="0"/>
        <w:jc w:val="center"/>
        <w:rPr>
          <w:rStyle w:val="C3"/>
          <w:rFonts w:ascii="黑体" w:hAnsi="黑体"/>
          <w:color w:val="000000"/>
          <w:sz w:val="32"/>
        </w:rPr>
      </w:pPr>
      <w:r>
        <w:rPr>
          <w:rStyle w:val="C3"/>
          <w:rFonts w:ascii="黑体" w:hAnsi="黑体"/>
          <w:color w:val="000000"/>
          <w:sz w:val="32"/>
        </w:rPr>
        <w:t xml:space="preserve">第四章  法律责任</w:t>
      </w:r>
    </w:p>
    <w:p>
      <w:pPr>
        <w:pStyle w:val="P1"/>
        <w:ind w:left="0"/>
        <w:jc w:val="center"/>
        <w:rPr>
          <w:rStyle w:val="C3"/>
          <w:rFonts w:ascii="仿宋_GB2312" w:hAnsi="仿宋_GB2312"/>
          <w:color w:val="000000"/>
          <w:sz w:val="32"/>
        </w:rPr>
      </w:pPr>
    </w:p>
    <w:p>
      <w:pPr>
        <w:pStyle w:val="P1"/>
        <w:ind w:firstLine="640" w:left="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违反本条例第十九条规定，非法改变沿海防护林林地用途的，由市、县（区）林业行政主管部门责令限期恢复植被和林业生产条件，可以处恢复植被和林业生产条件所需费用一倍以上三倍以下的罚款。</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虽经市、县（区）林业行政主管部门审核同意，但未办理建设用地审批手续擅自占用林地的，依据《中华人民共和国土地管理法》的有关规定处罚。</w:t>
      </w:r>
    </w:p>
    <w:p>
      <w:pPr>
        <w:pStyle w:val="P1"/>
        <w:ind w:firstLine="640" w:left="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违反本条例第二十条规定，破坏或者擅自移动沿海防护林保护标志的，由市、县（区）林业行政主管部门恢复沿海防护林保护标志，所需费用由违法者承担。</w:t>
      </w:r>
    </w:p>
    <w:p>
      <w:pPr>
        <w:pStyle w:val="P1"/>
        <w:ind w:firstLine="640" w:left="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三条规定，在临时使用的林地上修建永久性建筑物，或者临时使用林地期满后一年内未恢复植被或者林业生产条件的，由市、县（区）林业行政主管部门责令限期恢复植被和林业生产条件，可以处恢复植被和林业生产条件所需费用一倍以上三倍以下的罚款。</w:t>
      </w:r>
    </w:p>
    <w:p>
      <w:pPr>
        <w:pStyle w:val="P1"/>
        <w:ind w:firstLine="640" w:left="0"/>
        <w:rPr>
          <w:rStyle w:val="C3"/>
          <w:rFonts w:ascii="仿宋_GB2312" w:hAnsi="仿宋_GB2312"/>
          <w:color w:val="000000"/>
          <w:sz w:val="32"/>
        </w:rPr>
      </w:pPr>
      <w:r>
        <w:rPr>
          <w:rStyle w:val="C3"/>
          <w:rFonts w:ascii="黑体" w:hAnsi="黑体"/>
          <w:color w:val="000000"/>
          <w:sz w:val="32"/>
        </w:rPr>
        <w:t xml:space="preserve">第三十三条 </w:t>
      </w:r>
      <w:r>
        <w:rPr>
          <w:rStyle w:val="C3"/>
          <w:rFonts w:ascii="仿宋_GB2312" w:hAnsi="仿宋_GB2312"/>
          <w:color w:val="000000"/>
          <w:sz w:val="32"/>
        </w:rPr>
        <w:t xml:space="preserve"> </w:t>
      </w:r>
      <w:r>
        <w:rPr>
          <w:rStyle w:val="C3"/>
          <w:rFonts w:ascii="Microsoft YaHei UI" w:hAnsi="Microsoft YaHei UI"/>
          <w:color w:val="000000"/>
          <w:sz w:val="32"/>
        </w:rPr>
        <w:t>违反本条例第二十四条规定，破坏沿海防护林生长环境的，由市、县（区）林业、生态环境、水等行政主管部门责令停止违法行为，采取限期恢复植被和林业生产条件等补救措施，并依据《中华人民共和国水土保持法》等有关法律、法规规定进行处罚。</w:t>
      </w:r>
    </w:p>
    <w:p>
      <w:pPr>
        <w:pStyle w:val="P1"/>
        <w:ind w:firstLine="640" w:left="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六条第一项和第五项规定，造成林木毁坏的，由市、县（区）林业行政主管部门责令停止违法行为，并依据本条例第十三条、第十四条、第十五条规定，限期在原地以及《秦皇岛市沿海防护林保护利用规划》范围内的其他区域补植毁坏林木株数一倍以上三倍以下的树木，可以处毁坏林木价值二倍以上五倍以下的罚款；造成林地毁坏的，由市、县（区）林业行政主管部门责令停止违法行为，限期恢复植被和林业生产条件，可以处恢复植被和林业生产条件所需费用一倍以上三倍以下的罚款。</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违反本条例第二十六条第三项规定，造成林木毁坏的，由市、县（区）林业主管部门责令停止违法行为，并依据本条例第十三条、第十四条、第十五条规定，限期在原地以及《秦皇岛市沿海防护林保护利用规划》范围内的其他区域补植毁坏林木株数一倍以上三倍以下的树木。</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违反本条例第二十六条第四项规定的，由市、县（区）生态环境行政主管部门责令改正，并依据《中华人民共和国土壤污染防治法》等有关法律、法规规定进行处罚。</w:t>
      </w:r>
    </w:p>
    <w:p>
      <w:pPr>
        <w:pStyle w:val="P1"/>
        <w:ind w:firstLine="640" w:left="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违反本条例第二十六条第二项规定，非法采伐沿海防护林林木的，由市、县（区）林业行政主管部门依据《中华人民共和国森林法》等有关法律、法规规定进行处罚。</w:t>
      </w:r>
    </w:p>
    <w:p>
      <w:pPr>
        <w:pStyle w:val="P1"/>
        <w:ind w:firstLine="640" w:left="0"/>
        <w:rPr>
          <w:rStyle w:val="C3"/>
          <w:rFonts w:ascii="仿宋_GB2312" w:hAnsi="仿宋_GB2312"/>
          <w:color w:val="000000"/>
          <w:sz w:val="32"/>
        </w:rPr>
      </w:pPr>
      <w:r>
        <w:rPr>
          <w:rStyle w:val="C3"/>
          <w:rFonts w:ascii="黑体" w:hAnsi="黑体"/>
          <w:color w:val="000000"/>
          <w:sz w:val="32"/>
        </w:rPr>
        <w:t xml:space="preserve">第三十六条 </w:t>
      </w:r>
      <w:r>
        <w:rPr>
          <w:rStyle w:val="C3"/>
          <w:rFonts w:ascii="仿宋_GB2312" w:hAnsi="仿宋_GB2312"/>
          <w:color w:val="000000"/>
          <w:sz w:val="32"/>
        </w:rPr>
        <w:t xml:space="preserve"> </w:t>
      </w:r>
      <w:r>
        <w:rPr>
          <w:rStyle w:val="C3"/>
          <w:rFonts w:ascii="Microsoft YaHei UI" w:hAnsi="Microsoft YaHei UI"/>
          <w:color w:val="000000"/>
          <w:sz w:val="32"/>
        </w:rPr>
        <w:t>违反本条例第二十八条规定，造成沿海防护林火灾的，由市、县（区）林业行政主管部门依据《森林防火条例》等有关法律、法规规定进行处罚。</w:t>
      </w:r>
    </w:p>
    <w:p>
      <w:pPr>
        <w:pStyle w:val="P1"/>
        <w:ind w:firstLine="640" w:left="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市、县（区）林业行政主管部门和其他国家机关、单位的公职人员有下列行为之一的，由监察机关或者有关机关、单位依法给予处分：</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（一）未依照上位法和本条例规定编制、调整沿海防护林保护利用规划的；</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（二）违反法律、法规规定和生态环境保护政策要求，对不符合占用沿海防护林林地条件的建设项目予以立项、审批、核准或者备案的；</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（三）未依法查处破坏沿海防护林森林资源的；</w:t>
      </w:r>
    </w:p>
    <w:p>
      <w:pPr>
        <w:pStyle w:val="P1"/>
        <w:ind w:firstLine="640" w:left="0"/>
        <w:rPr>
          <w:rStyle w:val="C3"/>
          <w:rFonts w:ascii="仿宋_GB2312" w:hAnsi="仿宋_GB2312"/>
          <w:color w:val="000000"/>
          <w:sz w:val="32"/>
        </w:rPr>
      </w:pPr>
      <w:r>
        <w:rPr>
          <w:rStyle w:val="C3"/>
          <w:rFonts w:ascii="Microsoft YaHei UI" w:hAnsi="Microsoft YaHei UI"/>
          <w:color w:val="000000"/>
          <w:sz w:val="32"/>
        </w:rPr>
        <w:t>（四）其他玩忽职守、徇私舞弊、滥用职权，导致沿海防护林生态环境遭受破坏的行为。</w:t>
      </w:r>
    </w:p>
    <w:p>
      <w:pPr>
        <w:pStyle w:val="P1"/>
        <w:ind w:firstLine="640" w:left="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违反本条例规定，构成犯罪的，依法追究刑事责任。</w:t>
      </w:r>
    </w:p>
    <w:p>
      <w:pPr>
        <w:pStyle w:val="P1"/>
        <w:ind w:firstLine="640" w:left="0"/>
        <w:rPr>
          <w:rStyle w:val="C3"/>
          <w:rFonts w:ascii="仿宋_GB2312" w:hAnsi="仿宋_GB2312"/>
          <w:color w:val="000000"/>
          <w:sz w:val="32"/>
        </w:rPr>
      </w:pPr>
    </w:p>
    <w:p>
      <w:pPr>
        <w:pStyle w:val="P1"/>
        <w:ind w:hanging="438" w:left="438"/>
        <w:jc w:val="center"/>
        <w:rPr>
          <w:rStyle w:val="C3"/>
          <w:rFonts w:ascii="黑体" w:hAnsi="黑体"/>
          <w:color w:val="000000"/>
          <w:sz w:val="32"/>
        </w:rPr>
      </w:pPr>
      <w:r>
        <w:rPr>
          <w:rStyle w:val="C3"/>
          <w:rFonts w:ascii="黑体" w:hAnsi="黑体"/>
          <w:color w:val="000000"/>
          <w:sz w:val="32"/>
        </w:rPr>
        <w:t xml:space="preserve">第五章  附  则</w:t>
      </w:r>
    </w:p>
    <w:p>
      <w:pPr>
        <w:pStyle w:val="P1"/>
        <w:ind w:hanging="950" w:left="950"/>
        <w:rPr>
          <w:rStyle w:val="C3"/>
          <w:rFonts w:ascii="仿宋_GB2312" w:hAnsi="仿宋_GB2312"/>
          <w:color w:val="000000"/>
          <w:sz w:val="32"/>
        </w:rPr>
      </w:pPr>
    </w:p>
    <w:p>
      <w:pPr>
        <w:pStyle w:val="P1"/>
        <w:ind w:firstLine="640" w:left="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本条例所称有林地是指连续面积大于一亩、郁闭度</w:t>
      </w:r>
      <w:r>
        <w:rPr>
          <w:rStyle w:val="C3"/>
          <w:rFonts w:ascii="仿宋_GB2312" w:hAnsi="仿宋_GB2312"/>
          <w:color w:val="000000"/>
          <w:sz w:val="32"/>
        </w:rPr>
        <w:t>0.2</w:t>
      </w:r>
      <w:r>
        <w:rPr>
          <w:rStyle w:val="C3"/>
          <w:rFonts w:ascii="Microsoft YaHei UI" w:hAnsi="Microsoft YaHei UI"/>
          <w:color w:val="000000"/>
          <w:sz w:val="32"/>
        </w:rPr>
        <w:t>以上，附着有森林植被的沿海防护林林地。</w:t>
      </w:r>
    </w:p>
    <w:p>
      <w:pPr>
        <w:pStyle w:val="P1"/>
        <w:ind w:firstLine="640" w:left="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 xml:space="preserve"> </w:t>
      </w:r>
    </w:p>
    <w:p>
      <w:pPr>
        <w:pStyle w:val="P1"/>
        <w:ind w:firstLine="640" w:left="0"/>
        <w:rPr>
          <w:rStyle w:val="C3"/>
          <w:rFonts w:ascii="仿宋_GB2312" w:hAnsi="仿宋_GB2312"/>
          <w:color w:val="000000"/>
          <w:sz w:val="32"/>
        </w:rPr>
      </w:pPr>
    </w:p>
    <w:p>
      <w:pPr>
        <w:pStyle w:val="P1"/>
        <w:ind w:firstLine="640" w:left="0"/>
        <w:rPr>
          <w:rStyle w:val="C3"/>
          <w:rFonts w:ascii="仿宋_GB2312" w:hAnsi="仿宋_GB2312"/>
          <w:color w:val="000000"/>
          <w:sz w:val="32"/>
        </w:rPr>
      </w:pPr>
    </w:p>
    <w:p>
      <w:pPr>
        <w:pStyle w:val="P1"/>
        <w:ind w:firstLine="640" w:left="0"/>
        <w:rPr>
          <w:rStyle w:val="C3"/>
          <w:rFonts w:ascii="仿宋_GB2312" w:hAnsi="仿宋_GB2312"/>
          <w:color w:val="000000"/>
          <w:sz w:val="32"/>
        </w:rPr>
      </w:pPr>
    </w:p>
    <w:p>
      <w:pPr>
        <w:pStyle w:val="P1"/>
        <w:ind w:firstLine="640" w:left="0"/>
        <w:rPr>
          <w:rStyle w:val="C3"/>
          <w:rFonts w:ascii="仿宋_GB2312" w:hAnsi="仿宋_GB2312"/>
          <w:color w:val="000000"/>
          <w:sz w:val="32"/>
        </w:rPr>
      </w:pPr>
    </w:p>
    <w:p>
      <w:pPr>
        <w:pStyle w:val="P1"/>
        <w:ind w:firstLine="640" w:left="0"/>
        <w:rPr>
          <w:rStyle w:val="C3"/>
          <w:rFonts w:ascii="仿宋_GB2312" w:hAnsi="仿宋_GB2312"/>
          <w:color w:val="000000"/>
          <w:sz w:val="32"/>
        </w:rPr>
      </w:pPr>
    </w:p>
    <w:p>
      <w:pPr>
        <w:pStyle w:val="P1"/>
        <w:ind w:firstLine="640" w:left="0"/>
        <w:rPr>
          <w:rStyle w:val="C3"/>
          <w:rFonts w:ascii="仿宋_GB2312" w:hAnsi="仿宋_GB2312"/>
          <w:color w:val="000000"/>
          <w:sz w:val="32"/>
        </w:rPr>
      </w:pPr>
    </w:p>
    <w:p>
      <w:pPr>
        <w:pStyle w:val="P1"/>
        <w:ind w:firstLine="640" w:left="0"/>
        <w:rPr>
          <w:rStyle w:val="C3"/>
          <w:rFonts w:ascii="仿宋_GB2312" w:hAnsi="仿宋_GB2312"/>
          <w:color w:val="000000"/>
          <w:sz w:val="32"/>
        </w:rPr>
      </w:pPr>
    </w:p>
    <w:p>
      <w:pPr>
        <w:pStyle w:val="P1"/>
        <w:ind w:firstLine="640" w:left="0"/>
        <w:rPr>
          <w:rStyle w:val="C3"/>
          <w:rFonts w:ascii="仿宋_GB2312" w:hAnsi="仿宋_GB2312"/>
          <w:color w:val="000000"/>
          <w:sz w:val="32"/>
        </w:rPr>
      </w:pPr>
    </w:p>
    <w:p>
      <w:pPr>
        <w:pStyle w:val="P1"/>
        <w:ind w:firstLine="640" w:left="0"/>
        <w:rPr>
          <w:rStyle w:val="C3"/>
          <w:rFonts w:ascii="仿宋_GB2312" w:hAnsi="仿宋_GB2312"/>
          <w:color w:val="000000"/>
          <w:sz w:val="32"/>
        </w:rPr>
      </w:pPr>
    </w:p>
    <w:p>
      <w:pPr>
        <w:pStyle w:val="P1"/>
        <w:ind w:firstLine="640" w:left="0"/>
        <w:rPr>
          <w:rStyle w:val="C3"/>
          <w:rFonts w:ascii="仿宋_GB2312" w:hAnsi="仿宋_GB2312"/>
          <w:color w:val="000000"/>
          <w:sz w:val="32"/>
        </w:rPr>
      </w:pPr>
    </w:p>
    <w:p>
      <w:pPr>
        <w:pStyle w:val="P1"/>
        <w:ind w:firstLine="640" w:left="0"/>
        <w:rPr>
          <w:rStyle w:val="C3"/>
          <w:rFonts w:ascii="仿宋_GB2312" w:hAnsi="仿宋_GB2312"/>
          <w:color w:val="000000"/>
          <w:sz w:val="32"/>
        </w:rPr>
      </w:pPr>
    </w:p>
    <w:p>
      <w:pPr>
        <w:pStyle w:val="P1"/>
        <w:ind w:firstLine="640" w:left="0"/>
        <w:rPr>
          <w:rStyle w:val="C3"/>
          <w:rFonts w:ascii="仿宋_GB2312" w:hAnsi="仿宋_GB2312"/>
          <w:color w:val="000000"/>
          <w:sz w:val="32"/>
        </w:rPr>
      </w:pPr>
    </w:p>
    <w:p>
      <w:pPr>
        <w:pStyle w:val="P1"/>
        <w:rPr>
          <w:rStyle w:val="C3"/>
          <w:rFonts w:ascii="仿宋_GB2312" w:hAnsi="仿宋_GB2312"/>
          <w:color w:val="000000"/>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98" w:bottom="1985" w:header="851" w:footer="113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ind w:firstLine="7840"/>
      <w:rPr>
        <w:rStyle w:val="C3"/>
        <w:sz w:val="28"/>
      </w:rPr>
    </w:pPr>
    <w:r>
      <w:rPr>
        <w:rStyle w:val="C4"/>
        <w:rFonts w:ascii="宋体" w:hAnsi="宋体"/>
        <w:sz w:val="28"/>
      </w:rPr>
      <w:t xml:space="preserve">— </w:t>
    </w:r>
    <w:r>
      <w:rPr>
        <w:rStyle w:val="C4"/>
        <w:rFonts w:ascii="宋体" w:hAnsi="宋体"/>
        <w:sz w:val="28"/>
      </w:rPr>
      <w:fldChar w:fldCharType="begin"/>
    </w:r>
    <w:r>
      <w:rPr>
        <w:rStyle w:val="C4"/>
        <w:sz w:val="28"/>
      </w:rPr>
      <w:instrText>Page</w:instrText>
    </w:r>
    <w:r>
      <w:rPr>
        <w:rStyle w:val="C4"/>
        <w:sz w:val="28"/>
      </w:rPr>
      <w:fldChar w:fldCharType="separate"/>
    </w:r>
    <w:r>
      <w:rPr>
        <w:rStyle w:val="C4"/>
        <w:sz w:val="28"/>
      </w:rPr>
      <w:t>#</w:t>
    </w:r>
    <w:r>
      <w:rPr>
        <w:rStyle w:val="C4"/>
        <w:sz w:val="28"/>
      </w:rPr>
      <w:fldChar w:fldCharType="end"/>
    </w:r>
    <w:r>
      <w:rPr>
        <w:rStyle w:val="C4"/>
        <w:rFonts w:ascii="宋体" w:hAnsi="宋体"/>
        <w:sz w:val="28"/>
      </w:rPr>
      <w:t xml:space="preserve"> —</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ind w:firstLine="280"/>
      <w:rPr>
        <w:rStyle w:val="C3"/>
        <w:sz w:val="28"/>
      </w:rPr>
    </w:pPr>
    <w:r>
      <w:rPr>
        <w:rStyle w:val="C4"/>
        <w:rFonts w:ascii="宋体" w:hAnsi="宋体"/>
        <w:sz w:val="28"/>
      </w:rPr>
      <w:t xml:space="preserve">— </w:t>
    </w:r>
    <w:r>
      <w:rPr>
        <w:rStyle w:val="C4"/>
        <w:rFonts w:ascii="宋体" w:hAnsi="宋体"/>
        <w:sz w:val="28"/>
      </w:rPr>
      <w:fldChar w:fldCharType="begin"/>
    </w:r>
    <w:r>
      <w:rPr>
        <w:rStyle w:val="C4"/>
        <w:sz w:val="28"/>
      </w:rPr>
      <w:instrText>Page</w:instrText>
    </w:r>
    <w:r>
      <w:rPr>
        <w:rStyle w:val="C4"/>
        <w:sz w:val="28"/>
      </w:rPr>
      <w:fldChar w:fldCharType="separate"/>
    </w:r>
    <w:r>
      <w:rPr>
        <w:rStyle w:val="C4"/>
        <w:sz w:val="28"/>
      </w:rPr>
      <w:t>#</w:t>
    </w:r>
    <w:r>
      <w:rPr>
        <w:rStyle w:val="C4"/>
        <w:sz w:val="28"/>
      </w:rPr>
      <w:fldChar w:fldCharType="end"/>
    </w:r>
    <w:r>
      <w:rPr>
        <w:rStyle w:val="C4"/>
        <w:rFonts w:ascii="宋体" w:hAnsi="宋体"/>
        <w:sz w:val="28"/>
      </w:rPr>
      <w:t xml:space="preserve"> —</w:t>
    </w:r>
  </w:p>
  <w:p>
    <w:pPr>
      <w:pStyle w:val="P4"/>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0FFFFF7C"/>
    <w:multiLevelType w:val="multilevel"/>
    <w:lvl w:ilvl="0">
      <w:start w:val="1"/>
      <w:numFmt w:val="decimal"/>
      <w:suff w:val="tab"/>
      <w:lvlText w:val="%1."/>
      <w:lvlJc w:val="left"/>
      <w:pPr>
        <w:ind w:hanging="360" w:left="2040"/>
        <w:tabs>
          <w:tab w:val="left" w:pos="20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FFFFF7D"/>
    <w:multiLevelType w:val="multilevel"/>
    <w:lvl w:ilvl="0">
      <w:start w:val="1"/>
      <w:numFmt w:val="decimal"/>
      <w:suff w:val="tab"/>
      <w:lvlText w:val="%1."/>
      <w:lvlJc w:val="left"/>
      <w:pPr>
        <w:ind w:hanging="360" w:left="1620"/>
        <w:tabs>
          <w:tab w:val="left" w:pos="16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FFFFF7E"/>
    <w:multiLevelType w:val="multilevel"/>
    <w:lvl w:ilvl="0">
      <w:start w:val="1"/>
      <w:numFmt w:val="decimal"/>
      <w:suff w:val="tab"/>
      <w:lvlText w:val="%1."/>
      <w:lvlJc w:val="left"/>
      <w:pPr>
        <w:ind w:hanging="360" w:left="1200"/>
        <w:tabs>
          <w:tab w:val="left" w:pos="12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0FFFFF7F"/>
    <w:multiLevelType w:val="multilevel"/>
    <w:lvl w:ilvl="0">
      <w:start w:val="1"/>
      <w:numFmt w:val="decimal"/>
      <w:suff w:val="tab"/>
      <w:lvlText w:val="%1."/>
      <w:lvlJc w:val="left"/>
      <w:pPr>
        <w:ind w:hanging="360" w:left="780"/>
        <w:tabs>
          <w:tab w:val="left" w:pos="7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0FFFFF80"/>
    <w:multiLevelType w:val="hybridMultilevel"/>
    <w:lvl w:ilvl="0" w:tplc="6DF6FCC3">
      <w:start w:val="1"/>
      <w:numFmt w:val="bullet"/>
      <w:suff w:val="tab"/>
      <w:lvlText w:val=""/>
      <w:lvlJc w:val="left"/>
      <w:pPr>
        <w:ind w:hanging="360" w:left="2040"/>
        <w:tabs>
          <w:tab w:val="left" w:pos="204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0FFFFF81"/>
    <w:multiLevelType w:val="hybridMultilevel"/>
    <w:lvl w:ilvl="0" w:tplc="471D8A48">
      <w:start w:val="1"/>
      <w:numFmt w:val="bullet"/>
      <w:suff w:val="tab"/>
      <w:lvlText w:val=""/>
      <w:lvlJc w:val="left"/>
      <w:pPr>
        <w:ind w:hanging="360" w:left="1620"/>
        <w:tabs>
          <w:tab w:val="left" w:pos="162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0FFFFF82"/>
    <w:multiLevelType w:val="hybridMultilevel"/>
    <w:lvl w:ilvl="0" w:tplc="6A0E26CA">
      <w:start w:val="1"/>
      <w:numFmt w:val="bullet"/>
      <w:suff w:val="tab"/>
      <w:lvlText w:val=""/>
      <w:lvlJc w:val="left"/>
      <w:pPr>
        <w:ind w:hanging="360" w:left="1200"/>
        <w:tabs>
          <w:tab w:val="left" w:pos="120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FFFFF83"/>
    <w:multiLevelType w:val="hybridMultilevel"/>
    <w:lvl w:ilvl="0" w:tplc="4823E89E">
      <w:start w:val="1"/>
      <w:numFmt w:val="bullet"/>
      <w:suff w:val="tab"/>
      <w:lvlText w:val=""/>
      <w:lvlJc w:val="left"/>
      <w:pPr>
        <w:ind w:hanging="360" w:left="780"/>
        <w:tabs>
          <w:tab w:val="left" w:pos="78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0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0FFFFF89"/>
    <w:multiLevelType w:val="hybridMultilevel"/>
    <w:lvl w:ilvl="0" w:tplc="08093EEB">
      <w:start w:val="1"/>
      <w:numFmt w:val="bullet"/>
      <w:suff w:val="tab"/>
      <w:lvlText w:val=""/>
      <w:lvlJc w:val="left"/>
      <w:pPr>
        <w:ind w:hanging="360" w:left="360"/>
        <w:tabs>
          <w:tab w:val="left" w:pos="36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批注文字"/>
    <w:pPr>
      <w:widowControl w:val="0"/>
      <w:jc w:val="left"/>
    </w:pPr>
    <w:rPr>
      <w:rFonts w:ascii="Calibri" w:hAnsi="Calibri"/>
      <w:sz w:val="21"/>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
    <w:basedOn w:val="P1"/>
    <w:next w:val="P5"/>
    <w:pPr>
      <w:spacing w:beforeAutospacing="1" w:afterAutospacing="1"/>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超链接"/>
    <w:basedOn w:val="C3"/>
    <w:rPr>
      <w:color w:val="0000FF"/>
      <w:u w:val="single"/>
    </w:rPr>
  </w:style>
  <w:style w:type="character" w:styleId="C6">
    <w:name w:val="强调"/>
    <w:basedOn w:val="C3"/>
    <w:rPr>
      <w:i w:val="1"/>
    </w:rPr>
  </w:style>
  <w:style w:type="character" w:styleId="C7">
    <w:name w:val="fontstyle01"/>
    <w:basedOn w:val="C3"/>
    <w:rPr>
      <w:rFonts w:ascii="宋体" w:hAnsi="宋体"/>
      <w:color w:val="000000"/>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2018-10-17T07:38:00Z</dcterms:created>
  <cp:lastModifiedBy>f1TZOF\f1TZOF-</cp:lastModifiedBy>
  <cp:lastPrinted>2020-09-16T08:17:00Z</cp:lastPrinted>
  <dcterms:modified xsi:type="dcterms:W3CDTF">2024-08-28T01:35:28Z</dcterms:modified>
  <cp:revision>3</cp:revision>
  <dc:title>《秦皇岛市沿海防护林建设与保护条例》（送审稿）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
    <vt:lpwstr>2052-10.1.0.6874</vt:lpwstr>
  </property>
</Properties>
</file>