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3A54E30" Type="http://schemas.openxmlformats.org/officeDocument/2006/relationships/officeDocument" Target="/word/document.xml" /><Relationship Id="coreR33A54E30" Type="http://schemas.openxmlformats.org/package/2006/relationships/metadata/core-properties" Target="/docProps/core.xml" /><Relationship Id="customR33A54E3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uppressAutoHyphens w:val="0"/>
        <w:spacing w:lineRule="exact" w:line="640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海南省人民代表大会常务委员会关于将排污</w:t>
      </w:r>
    </w:p>
    <w:p>
      <w:pPr>
        <w:pStyle w:val="P1"/>
        <w:suppressAutoHyphens w:val="0"/>
        <w:spacing w:lineRule="exact" w:line="640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许可证核发等省级管理权限调整</w:t>
      </w:r>
    </w:p>
    <w:p>
      <w:pPr>
        <w:pStyle w:val="P1"/>
        <w:suppressAutoHyphens w:val="0"/>
        <w:spacing w:lineRule="exact" w:line="640"/>
        <w:jc w:val="center"/>
        <w:rPr>
          <w:rStyle w:val="C3"/>
        </w:rPr>
      </w:pPr>
      <w:r>
        <w:rPr>
          <w:rStyle w:val="C3"/>
          <w:rFonts w:ascii="Microsoft YaHei UI" w:hAnsi="Microsoft YaHei UI"/>
          <w:sz w:val="44"/>
        </w:rPr>
        <w:t>由儋州市实施的决定</w:t>
      </w:r>
    </w:p>
    <w:p>
      <w:pPr>
        <w:pStyle w:val="P1"/>
        <w:spacing w:lineRule="exact" w:line="240"/>
        <w:ind w:firstLine="420"/>
        <w:rPr>
          <w:rStyle w:val="C3"/>
        </w:rPr>
      </w:pPr>
    </w:p>
    <w:p>
      <w:pPr>
        <w:pStyle w:val="P1"/>
        <w:keepNext w:val="0"/>
        <w:keepLines w:val="0"/>
        <w:widowControl w:val="0"/>
        <w:spacing w:lineRule="atLeast" w:line="560"/>
        <w:ind w:left="840" w:right="84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Times New Roman" w:hAnsi="Times New Roman"/>
          <w:sz w:val="32"/>
        </w:rPr>
        <w:t>2022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11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sz w:val="32"/>
        </w:rPr>
        <w:t>30</w:t>
      </w:r>
      <w:r>
        <w:rPr>
          <w:rStyle w:val="C3"/>
          <w:rFonts w:ascii="方正姚体" w:hAnsi="方正姚体"/>
          <w:sz w:val="32"/>
        </w:rPr>
        <w:t>日</w:t>
      </w:r>
      <w:r>
        <w:rPr>
          <w:rStyle w:val="C3"/>
          <w:rFonts w:ascii="Microsoft YaHei UI" w:hAnsi="Microsoft YaHei UI"/>
          <w:sz w:val="32"/>
        </w:rPr>
        <w:t>海南省第六届人民代表大会</w:t>
      </w:r>
    </w:p>
    <w:p>
      <w:pPr>
        <w:pStyle w:val="P1"/>
        <w:keepNext w:val="0"/>
        <w:keepLines w:val="0"/>
        <w:widowControl w:val="0"/>
        <w:spacing w:lineRule="atLeast" w:line="560"/>
        <w:ind w:left="840" w:right="8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常务委员会第三十九次会议通过）</w:t>
      </w:r>
    </w:p>
    <w:p>
      <w:pPr>
        <w:pStyle w:val="P1"/>
        <w:spacing w:lineRule="atLeast" w:line="560"/>
        <w:ind w:firstLine="420"/>
        <w:rPr>
          <w:rStyle w:val="C3"/>
        </w:rPr>
      </w:pPr>
    </w:p>
    <w:p>
      <w:pPr>
        <w:pStyle w:val="P1"/>
        <w:spacing w:lineRule="atLeas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为进一步推进行政审批制度改革，提高审批效率，加快推进儋州洋浦一体化发展，营造法治化、国际化、便利化的营商环境，根据有关法律法规，结合海南自由贸易港建设实际，海南省人民代表大会常务委员会决定将</w:t>
      </w:r>
      <w:r>
        <w:rPr>
          <w:rStyle w:val="C3"/>
          <w:rFonts w:ascii="Times New Roman" w:hAnsi="Times New Roman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项省级管理权限调整由儋州市实施（目录附后）。</w:t>
      </w:r>
    </w:p>
    <w:p>
      <w:pPr>
        <w:pStyle w:val="P1"/>
        <w:spacing w:lineRule="atLeas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儋州市和原实施机关要做好调整实施事项的衔接落实工作，制定配套管理措施，强化事中事后监管，确保放得下、接得住、管得好。儋州市应当建立健全承接的有效机制，周密部署、认真组织，优化流程、提升服务，切实提高审批和监管效能。原实施机关应当加强业务培训指导，对于尚未承接到位的事项要严格履行相关审批职责，避免工作脱节；适时对调整实施的事项进行评估，经评估施行效果不好的，及时按照法定程序收回相关管理权限。</w:t>
      </w:r>
    </w:p>
    <w:p>
      <w:pPr>
        <w:pStyle w:val="P1"/>
        <w:spacing w:lineRule="atLeas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spacing w:lineRule="atLeast" w:line="560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atLeas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附件：调整由儋州市实施的省级管理权限目录（</w:t>
      </w:r>
      <w:r>
        <w:rPr>
          <w:rStyle w:val="C3"/>
          <w:rFonts w:ascii="Times New Roman" w:hAnsi="Times New Roman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项）</w:t>
      </w:r>
    </w:p>
    <w:p>
      <w:pPr>
        <w:pStyle w:val="P1"/>
        <w:spacing w:lineRule="exact" w:line="560"/>
        <w:rPr>
          <w:rStyle w:val="C3"/>
          <w:rFonts w:ascii="黑体" w:hAnsi="黑体"/>
          <w:sz w:val="30"/>
        </w:rPr>
        <w:sectPr>
          <w:footerReference xmlns:r="http://schemas.openxmlformats.org/officeDocument/2006/relationships" w:type="default" r:id="RelFtr1"/>
          <w:footerReference xmlns:r="http://schemas.openxmlformats.org/officeDocument/2006/relationships" w:type="even" r:id="RelFtr2"/>
          <w:type w:val="nextPage"/>
          <w:pgSz w:w="11906" w:h="16838" w:code="0"/>
          <w:pgMar w:left="1446" w:right="1418" w:top="1928" w:bottom="1644" w:header="0" w:footer="1247" w:gutter="0"/>
        </w:sectPr>
      </w:pPr>
    </w:p>
    <w:p>
      <w:pPr>
        <w:pStyle w:val="P1"/>
        <w:spacing w:lineRule="exact" w:line="560"/>
        <w:rPr>
          <w:rStyle w:val="C3"/>
          <w:rFonts w:ascii="黑体" w:hAnsi="黑体"/>
          <w:sz w:val="30"/>
        </w:rPr>
      </w:pPr>
      <w:r>
        <w:rPr>
          <w:rStyle w:val="C3"/>
          <w:rFonts w:ascii="黑体" w:hAnsi="黑体"/>
          <w:sz w:val="30"/>
        </w:rPr>
        <w:t>附件</w:t>
      </w:r>
    </w:p>
    <w:p>
      <w:pPr>
        <w:pStyle w:val="P1"/>
        <w:spacing w:lineRule="exact" w:line="560"/>
        <w:rPr>
          <w:rStyle w:val="C3"/>
          <w:rFonts w:ascii="黑体" w:hAnsi="黑体"/>
          <w:sz w:val="30"/>
        </w:rPr>
      </w:pPr>
    </w:p>
    <w:p>
      <w:pPr>
        <w:pStyle w:val="P1"/>
        <w:spacing w:lineRule="exact" w:line="560" w:after="192"/>
        <w:jc w:val="center"/>
        <w:rPr>
          <w:rStyle w:val="C3"/>
          <w:rFonts w:ascii="方正小标宋_GBK" w:hAnsi="方正小标宋_GBK"/>
          <w:color w:val="000000"/>
          <w:sz w:val="40"/>
        </w:rPr>
      </w:pPr>
      <w:r>
        <w:rPr>
          <w:rStyle w:val="C3"/>
          <w:rFonts w:ascii="Microsoft YaHei UI" w:hAnsi="Microsoft YaHei UI"/>
          <w:color w:val="000000"/>
          <w:sz w:val="40"/>
        </w:rPr>
        <w:t>调整由儋州市实施的省级管理权限目录（</w:t>
      </w:r>
      <w:r>
        <w:rPr>
          <w:rStyle w:val="C3"/>
          <w:rFonts w:ascii="Times New Roman" w:hAnsi="Times New Roman"/>
          <w:color w:val="000000"/>
          <w:sz w:val="40"/>
        </w:rPr>
        <w:t>4</w:t>
      </w:r>
      <w:r>
        <w:rPr>
          <w:rStyle w:val="C3"/>
          <w:rFonts w:ascii="Microsoft YaHei UI" w:hAnsi="Microsoft YaHei UI"/>
          <w:color w:val="000000"/>
          <w:sz w:val="40"/>
        </w:rPr>
        <w:t>项）</w:t>
      </w:r>
    </w:p>
    <w:tbl>
      <w:tblPr>
        <w:tblStyle w:val="T2"/>
        <w:tblW w:w="9324" w:type="dxa"/>
        <w:jc w:val="center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/>
      <w:tr>
        <w:trPr>
          <w:trHeight w:hRule="exact" w:val="801"/>
        </w:trPr>
        <w:tc>
          <w:tcPr>
            <w:tcW w:w="624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黑体" w:hAnsi="黑体"/>
                <w:sz w:val="24"/>
              </w:rPr>
            </w:pPr>
            <w:r>
              <w:rPr>
                <w:rStyle w:val="C3"/>
                <w:rFonts w:ascii="黑体" w:hAnsi="黑体"/>
                <w:sz w:val="24"/>
              </w:rPr>
              <w:t>序号</w:t>
            </w:r>
          </w:p>
        </w:tc>
        <w:tc>
          <w:tcPr>
            <w:tcW w:w="3637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黑体" w:hAnsi="黑体"/>
                <w:sz w:val="24"/>
              </w:rPr>
            </w:pPr>
            <w:r>
              <w:rPr>
                <w:rStyle w:val="C3"/>
                <w:rFonts w:ascii="黑体" w:hAnsi="黑体"/>
                <w:sz w:val="24"/>
              </w:rPr>
              <w:t>项目名称</w:t>
            </w:r>
          </w:p>
        </w:tc>
        <w:tc>
          <w:tcPr>
            <w:tcW w:w="2058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黑体" w:hAnsi="黑体"/>
                <w:sz w:val="24"/>
              </w:rPr>
            </w:pPr>
            <w:r>
              <w:rPr>
                <w:rStyle w:val="C3"/>
                <w:rFonts w:ascii="黑体" w:hAnsi="黑体"/>
                <w:sz w:val="24"/>
              </w:rPr>
              <w:t>原实施机关</w:t>
            </w:r>
          </w:p>
        </w:tc>
        <w:tc>
          <w:tcPr>
            <w:tcW w:w="220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黑体" w:hAnsi="黑体"/>
                <w:sz w:val="24"/>
              </w:rPr>
            </w:pPr>
            <w:r>
              <w:rPr>
                <w:rStyle w:val="C3"/>
                <w:rFonts w:ascii="黑体" w:hAnsi="黑体"/>
                <w:sz w:val="24"/>
              </w:rPr>
              <w:t>承接机关</w:t>
            </w:r>
          </w:p>
        </w:tc>
        <w:tc>
          <w:tcPr>
            <w:tcW w:w="805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黑体" w:hAnsi="黑体"/>
                <w:sz w:val="24"/>
              </w:rPr>
            </w:pPr>
            <w:r>
              <w:rPr>
                <w:rStyle w:val="C3"/>
                <w:rFonts w:ascii="黑体" w:hAnsi="黑体"/>
                <w:sz w:val="24"/>
              </w:rPr>
              <w:t>调整</w:t>
            </w:r>
          </w:p>
          <w:p>
            <w:pPr>
              <w:pStyle w:val="P1"/>
              <w:jc w:val="center"/>
              <w:rPr>
                <w:rStyle w:val="C3"/>
                <w:rFonts w:ascii="黑体" w:hAnsi="黑体"/>
                <w:sz w:val="24"/>
              </w:rPr>
            </w:pPr>
            <w:r>
              <w:rPr>
                <w:rStyle w:val="C3"/>
                <w:rFonts w:ascii="黑体" w:hAnsi="黑体"/>
                <w:sz w:val="24"/>
              </w:rPr>
              <w:t>方式</w:t>
            </w:r>
          </w:p>
        </w:tc>
      </w:tr>
      <w:tr>
        <w:trPr>
          <w:trHeight w:hRule="exact" w:val="1130"/>
        </w:trPr>
        <w:tc>
          <w:tcPr>
            <w:tcW w:w="624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1</w:t>
            </w:r>
          </w:p>
        </w:tc>
        <w:tc>
          <w:tcPr>
            <w:tcW w:w="3637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排污许可证核发</w:t>
            </w:r>
          </w:p>
        </w:tc>
        <w:tc>
          <w:tcPr>
            <w:tcW w:w="2058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省生态环境厅</w:t>
            </w:r>
          </w:p>
        </w:tc>
        <w:tc>
          <w:tcPr>
            <w:tcW w:w="220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儋州市生态环境</w:t>
            </w:r>
          </w:p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主管部门</w:t>
            </w:r>
          </w:p>
        </w:tc>
        <w:tc>
          <w:tcPr>
            <w:tcW w:w="805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下放</w:t>
            </w:r>
          </w:p>
        </w:tc>
      </w:tr>
      <w:tr>
        <w:trPr>
          <w:trHeight w:hRule="exact" w:val="1593"/>
        </w:trPr>
        <w:tc>
          <w:tcPr>
            <w:tcW w:w="624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2</w:t>
            </w:r>
          </w:p>
        </w:tc>
        <w:tc>
          <w:tcPr>
            <w:tcW w:w="3637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rPr>
                <w:rStyle w:val="C3"/>
                <w:rFonts w:ascii="仿宋_GB2312" w:hAnsi="仿宋_GB2312"/>
                <w:color w:val="000000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省际普通货船运输企业、省内水路运输企业《国内水路运输经营许可证》核发（办理、换发、补办、注销）和相关备案</w:t>
            </w:r>
          </w:p>
        </w:tc>
        <w:tc>
          <w:tcPr>
            <w:tcW w:w="2058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省交通运输厅</w:t>
            </w:r>
          </w:p>
        </w:tc>
        <w:tc>
          <w:tcPr>
            <w:tcW w:w="220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儋州市交通运输</w:t>
            </w:r>
          </w:p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主管部门</w:t>
            </w:r>
          </w:p>
        </w:tc>
        <w:tc>
          <w:tcPr>
            <w:tcW w:w="805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下放</w:t>
            </w:r>
          </w:p>
        </w:tc>
      </w:tr>
      <w:tr>
        <w:trPr>
          <w:trHeight w:hRule="exact" w:val="1255"/>
        </w:trPr>
        <w:tc>
          <w:tcPr>
            <w:tcW w:w="624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3</w:t>
            </w:r>
          </w:p>
        </w:tc>
        <w:tc>
          <w:tcPr>
            <w:tcW w:w="3637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省际普通货船运输企业、省内水路运输企业《船舶营业运输证》核发（办理、换发、注销）</w:t>
            </w:r>
          </w:p>
        </w:tc>
        <w:tc>
          <w:tcPr>
            <w:tcW w:w="2058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省交通运输厅</w:t>
            </w:r>
          </w:p>
        </w:tc>
        <w:tc>
          <w:tcPr>
            <w:tcW w:w="220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儋州市交通运输</w:t>
            </w:r>
          </w:p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主管部门</w:t>
            </w:r>
          </w:p>
        </w:tc>
        <w:tc>
          <w:tcPr>
            <w:tcW w:w="805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下放</w:t>
            </w:r>
          </w:p>
        </w:tc>
      </w:tr>
      <w:tr>
        <w:trPr>
          <w:trHeight w:hRule="exact" w:val="1178"/>
        </w:trPr>
        <w:tc>
          <w:tcPr>
            <w:tcW w:w="624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Times New Roman" w:hAnsi="Times New Roman"/>
                <w:sz w:val="24"/>
              </w:rPr>
            </w:pPr>
            <w:r>
              <w:rPr>
                <w:rStyle w:val="C3"/>
                <w:rFonts w:ascii="Times New Roman" w:hAnsi="Times New Roman"/>
                <w:sz w:val="24"/>
              </w:rPr>
              <w:t>4</w:t>
            </w:r>
          </w:p>
        </w:tc>
        <w:tc>
          <w:tcPr>
            <w:tcW w:w="3637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4"/>
              </w:rPr>
              <w:t>拍卖企业设立、变更备案</w:t>
            </w:r>
          </w:p>
        </w:tc>
        <w:tc>
          <w:tcPr>
            <w:tcW w:w="2058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4"/>
              </w:rPr>
              <w:t>省商务厅</w:t>
            </w:r>
          </w:p>
        </w:tc>
        <w:tc>
          <w:tcPr>
            <w:tcW w:w="2200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儋州市</w:t>
            </w:r>
            <w:r>
              <w:rPr>
                <w:rStyle w:val="C3"/>
                <w:rFonts w:ascii="Microsoft YaHei UI" w:hAnsi="Microsoft YaHei UI"/>
                <w:color w:val="000000"/>
                <w:sz w:val="24"/>
              </w:rPr>
              <w:t>负责管理</w:t>
            </w:r>
          </w:p>
          <w:p>
            <w:pPr>
              <w:pStyle w:val="P1"/>
              <w:widowControl w:val="1"/>
              <w:jc w:val="center"/>
              <w:rPr>
                <w:rStyle w:val="C3"/>
                <w:rFonts w:ascii="仿宋_GB2312" w:hAnsi="仿宋_GB2312"/>
                <w:color w:val="000000"/>
                <w:sz w:val="24"/>
              </w:rPr>
            </w:pPr>
            <w:r>
              <w:rPr>
                <w:rStyle w:val="C3"/>
                <w:rFonts w:ascii="Microsoft YaHei UI" w:hAnsi="Microsoft YaHei UI"/>
                <w:color w:val="000000"/>
                <w:sz w:val="24"/>
              </w:rPr>
              <w:t>拍卖业的部门</w:t>
            </w:r>
          </w:p>
        </w:tc>
        <w:tc>
          <w:tcPr>
            <w:tcW w:w="805" w:type="dxa"/>
            <w:tcBorders>
              <w:top w:val="nil" w:sz="0" w:space="0" w:shadow="0" w:frame="0" w:color="000000"/>
              <w:left w:val="nil" w:sz="0" w:space="0" w:shadow="0" w:frame="0" w:color="000000"/>
              <w:bottom w:val="nil" w:sz="0" w:space="0" w:shadow="0" w:frame="0" w:color="000000"/>
              <w:right w:val="nil" w:sz="0" w:space="0" w:shadow="0" w:frame="0" w:color="000000"/>
            </w:tcBorders>
          </w:tcPr>
          <w:p>
            <w:pPr>
              <w:pStyle w:val="P1"/>
              <w:jc w:val="center"/>
              <w:rPr>
                <w:rStyle w:val="C3"/>
                <w:rFonts w:ascii="仿宋_GB2312" w:hAnsi="仿宋_GB2312"/>
                <w:sz w:val="24"/>
              </w:rPr>
            </w:pPr>
            <w:r>
              <w:rPr>
                <w:rStyle w:val="C3"/>
                <w:rFonts w:ascii="Microsoft YaHei UI" w:hAnsi="Microsoft YaHei UI"/>
                <w:sz w:val="24"/>
              </w:rPr>
              <w:t>下放</w:t>
            </w:r>
          </w:p>
        </w:tc>
      </w:tr>
    </w:tbl>
    <w:p>
      <w:pPr>
        <w:pStyle w:val="P1"/>
        <w:rPr>
          <w:rStyle w:val="C3"/>
        </w:rPr>
      </w:pPr>
    </w:p>
    <w:sectPr>
      <w:type w:val="nextPage"/>
      <w:pgSz w:w="11906" w:h="16838" w:code="0"/>
      <w:pgMar w:left="1800" w:right="1800" w:top="1440" w:bottom="1440" w:header="720" w:footer="72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jc w:val="right"/>
      <w:rPr>
        <w:rStyle w:val="C3"/>
        <w:rFonts w:ascii="Times New Roman" w:hAnsi="Times New Roman"/>
        <w:sz w:val="21"/>
      </w:rPr>
    </w:pPr>
    <w:r>
      <mc:AlternateContent>
        <mc:Choice Requires="wps">
          <w:rPr>
            <w:rStyle w:val="C3"/>
            <w:sz w:val="21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6"/>
                            <w:tabs>
                              <w:tab w:val="center" w:pos="4153" w:leader="none"/>
                              <w:tab w:val="right" w:pos="8306" w:leader="none"/>
                            </w:tabs>
                            <w:jc w:val="right"/>
                            <w:rPr>
                              <w:rStyle w:val="C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1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1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weight="0pt" stroked="f" o:allowincell="t">
              <v:textbox style="mso-fit-shape-to-text:t" inset="0mm,0mm,0mm,0mm">
                <w:txbxContent>
                  <w:p>
                    <w:pPr>
                      <w:pStyle w:val="P6"/>
                      <w:tabs>
                        <w:tab w:val="center" w:pos="4153" w:leader="none"/>
                        <w:tab w:val="right" w:pos="8306" w:leader="none"/>
                      </w:tabs>
                      <w:jc w:val="right"/>
                      <w:rPr>
                        <w:rStyle w:val="C3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Times New Roman" w:hAnsi="Times New Roman"/>
                        <w:sz w:val="21"/>
                      </w:rPr>
                      <w:instrText xml:space="preserve"> PAGE   \* MERGEFORMAT </w:instrText>
                    </w:r>
                    <w:r>
                      <w:rPr>
                        <w:rStyle w:val="C3"/>
                        <w:rFonts w:ascii="Times New Roman" w:hAnsi="Times New Roman"/>
                        <w:sz w:val="21"/>
                      </w:rPr>
                      <w:fldChar w:fldCharType="separate"/>
                    </w:r>
                    <w:r>
                      <w:rPr>
                        <w:rStyle w:val="C3"/>
                        <w:rFonts w:ascii="Times New Roman" w:hAnsi="Times New Roman"/>
                        <w:sz w:val="21"/>
                      </w:rPr>
                      <w:t>#</w:t>
                    </w:r>
                    <w:r>
                      <w:rPr>
                        <w:rStyle w:val="C3"/>
                        <w:rFonts w:ascii="Times New Roman" w:hAnsi="Times New Roman"/>
                        <w:sz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rPr>
        <w:rStyle w:val="C3"/>
        <w:rFonts w:ascii="Times New Roman" w:hAnsi="Times New Roman"/>
        <w:sz w:val="21"/>
      </w:rPr>
    </w:pPr>
    <w:r>
      <w:fldChar w:fldCharType="begin"/>
    </w:r>
    <w:r>
      <w:rPr>
        <w:rStyle w:val="C3"/>
        <w:rFonts w:ascii="Times New Roman" w:hAnsi="Times New Roman"/>
        <w:sz w:val="21"/>
      </w:rPr>
      <w:instrText xml:space="preserve"> PAGE   \* MERGEFORMAT </w:instrText>
    </w:r>
    <w:r>
      <w:rPr>
        <w:rStyle w:val="C3"/>
        <w:rFonts w:ascii="Times New Roman" w:hAnsi="Times New Roman"/>
        <w:sz w:val="21"/>
      </w:rPr>
      <w:fldChar w:fldCharType="separate"/>
    </w:r>
    <w:r>
      <w:rPr>
        <w:rStyle w:val="C3"/>
        <w:rFonts w:ascii="Times New Roman" w:hAnsi="Times New Roman"/>
        <w:sz w:val="21"/>
      </w:rPr>
      <w:t>#</w:t>
    </w:r>
    <w:r>
      <w:rPr>
        <w:rStyle w:val="C3"/>
        <w:rFonts w:ascii="Times New Roman" w:hAnsi="Times New Roman"/>
        <w:sz w:val="21"/>
      </w:rPr>
      <w:fldChar w:fldCharType="end"/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docVars>
    <w:docVar w:name="commondata" w:val="eyJoZGlkIjoiNWMxNDUyNTNkNWNiNDMxOWIzZjFiY2Q4ZWUyOWU2OTU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9"/>
    <w:pPr>
      <w:widowControl w:val="0"/>
      <w:suppressAutoHyphens w:val="1"/>
      <w:jc w:val="both"/>
    </w:pPr>
    <w:rPr>
      <w:rFonts w:ascii="Calibri" w:hAnsi="Calibri"/>
      <w:color w:val="auto"/>
      <w:sz w:val="21"/>
    </w:rPr>
  </w:style>
  <w:style w:type="paragraph" w:styleId="P2">
    <w:name w:val="BodyText"/>
    <w:basedOn w:val="P1"/>
    <w:next w:val="P2"/>
    <w:qFormat/>
    <w:pPr>
      <w:suppressAutoHyphens w:val="1"/>
      <w:spacing w:lineRule="auto" w:line="276" w:before="0" w:after="140"/>
      <w:jc w:val="both"/>
    </w:pPr>
    <w:rPr/>
  </w:style>
  <w:style w:type="paragraph" w:styleId="P3">
    <w:name w:val="页眉"/>
    <w:basedOn w:val="P1"/>
    <w:next w:val="P3"/>
    <w:qFormat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4">
    <w:name w:val="题注"/>
    <w:basedOn w:val="P1"/>
    <w:next w:val="P4"/>
    <w:pPr>
      <w:widowControl w:val="0"/>
      <w:suppressLineNumbers w:val="1"/>
      <w:suppressAutoHyphens w:val="1"/>
      <w:spacing w:before="120" w:after="120"/>
    </w:pPr>
    <w:rPr>
      <w:i w:val="1"/>
      <w:sz w:val="24"/>
    </w:rPr>
  </w:style>
  <w:style w:type="paragraph" w:styleId="P5">
    <w:name w:val="正文文本"/>
    <w:basedOn w:val="P1"/>
    <w:next w:val="P5"/>
    <w:pPr>
      <w:spacing w:lineRule="auto" w:line="276" w:before="0" w:after="140"/>
    </w:pPr>
    <w:rPr/>
  </w:style>
  <w:style w:type="paragraph" w:styleId="P6">
    <w:name w:val="页脚"/>
    <w:basedOn w:val="P1"/>
    <w:next w:val="P6"/>
    <w:qFormat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7">
    <w:name w:val="Heading"/>
    <w:basedOn w:val="P1"/>
    <w:next w:val="P5"/>
    <w:pPr>
      <w:keepNext w:val="1"/>
      <w:widowControl w:val="0"/>
      <w:suppressAutoHyphens w:val="1"/>
      <w:spacing w:before="240" w:after="120"/>
    </w:pPr>
    <w:rPr>
      <w:rFonts w:ascii="Liberation Sans" w:hAnsi="Liberation Sans"/>
      <w:sz w:val="28"/>
    </w:rPr>
  </w:style>
  <w:style w:type="paragraph" w:styleId="P8">
    <w:name w:val="Index"/>
    <w:basedOn w:val="P1"/>
    <w:next w:val="P8"/>
    <w:pPr>
      <w:widowControl w:val="0"/>
      <w:suppressLineNumbers w:val="1"/>
      <w:suppressAutoHyphens w:val="1"/>
    </w:pPr>
    <w:rPr/>
  </w:style>
  <w:style w:type="paragraph" w:styleId="P9">
    <w:name w:val="BodyText1I"/>
    <w:basedOn w:val="P2"/>
    <w:next w:val="P3"/>
    <w:qFormat/>
    <w:pPr>
      <w:suppressAutoHyphens w:val="1"/>
      <w:spacing w:lineRule="auto" w:line="276" w:before="0" w:after="140"/>
      <w:ind w:firstLine="420"/>
      <w:jc w:val="both"/>
    </w:pPr>
    <w:rPr/>
  </w:style>
  <w:style w:type="paragraph" w:styleId="P10">
    <w:name w:val="列表"/>
    <w:basedOn w:val="P5"/>
    <w:next w:val="P10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默认段落字体1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uos</dc:creator>
  <dcterms:created xsi:type="dcterms:W3CDTF">2018-11-27T01:47:00Z</dcterms:created>
  <cp:lastModifiedBy>f1TZOF\f1TZOF-</cp:lastModifiedBy>
  <dcterms:modified xsi:type="dcterms:W3CDTF">2024-08-28T01:35:28Z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ICV">
    <vt:lpwstr>CE59FD421BAB4DA1A98438954EE44457</vt:lpwstr>
  </property>
</Properties>
</file>