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0D3B0B" Type="http://schemas.openxmlformats.org/officeDocument/2006/relationships/officeDocument" Target="/word/document.xml" /><Relationship Id="coreR370D3B0B" Type="http://schemas.openxmlformats.org/package/2006/relationships/metadata/core-properties" Target="/docProps/core.xml" /><Relationship Id="customR370D3B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09"/>
        <w:jc w:val="left"/>
        <w:rPr>
          <w:rStyle w:val="C3"/>
          <w:rFonts w:ascii="宋体" w:hAnsi="宋体"/>
          <w:sz w:val="32"/>
        </w:rPr>
      </w:pPr>
    </w:p>
    <w:p>
      <w:pPr>
        <w:pStyle w:val="P1"/>
        <w:spacing w:lineRule="exact" w:line="580"/>
        <w:ind w:firstLine="609"/>
        <w:jc w:val="left"/>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宁夏回族自治区实施《中华人民共和国</w:t>
      </w:r>
    </w:p>
    <w:p>
      <w:pPr>
        <w:pStyle w:val="P1"/>
        <w:spacing w:lineRule="exact" w:line="580"/>
        <w:jc w:val="center"/>
        <w:rPr>
          <w:rStyle w:val="C3"/>
          <w:rFonts w:ascii="宋体" w:hAnsi="宋体"/>
          <w:sz w:val="44"/>
        </w:rPr>
      </w:pPr>
      <w:r>
        <w:rPr>
          <w:rStyle w:val="C3"/>
          <w:rFonts w:ascii="宋体" w:hAnsi="宋体"/>
          <w:sz w:val="44"/>
        </w:rPr>
        <w:t>未成年人保护法》办法</w:t>
      </w:r>
    </w:p>
    <w:p>
      <w:pPr>
        <w:pStyle w:val="P1"/>
        <w:spacing w:lineRule="exact" w:line="580"/>
        <w:ind w:firstLine="609"/>
        <w:jc w:val="left"/>
        <w:rPr>
          <w:rStyle w:val="C3"/>
          <w:rFonts w:ascii="宋体" w:hAnsi="宋体"/>
          <w:sz w:val="32"/>
        </w:rPr>
      </w:pPr>
    </w:p>
    <w:p>
      <w:pPr>
        <w:pStyle w:val="P1"/>
        <w:spacing w:lineRule="exact" w:line="580"/>
        <w:ind w:firstLine="2" w:left="576" w:right="649"/>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日宁夏回族自治区第七届人民代表大会常务委员会第十七次会议通过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日宁夏回族自治区第九届人民代表大会常务委员会第二十一次会议《关于修改〈宁夏回族自治区矿产资源管理条例〉等</w:t>
      </w:r>
      <w:r>
        <w:rPr>
          <w:rStyle w:val="C3"/>
          <w:rFonts w:ascii="楷体_GB2312" w:hAnsi="楷体_GB2312"/>
          <w:sz w:val="32"/>
        </w:rPr>
        <w:t>12</w:t>
      </w:r>
      <w:r>
        <w:rPr>
          <w:rStyle w:val="C3"/>
          <w:rFonts w:ascii="Microsoft YaHei UI" w:hAnsi="Microsoft YaHei UI"/>
          <w:sz w:val="32"/>
        </w:rPr>
        <w:t>件地方性法规的决定》修正</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日宁夏回族自治区第十届人民代表大会常务委员会第十八次会议修订）</w:t>
      </w:r>
    </w:p>
    <w:p>
      <w:pPr>
        <w:pStyle w:val="P1"/>
        <w:spacing w:lineRule="exact" w:line="580"/>
        <w:ind w:firstLine="609"/>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家庭保护</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学校保护</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社会保护</w:t>
      </w:r>
      <w:r>
        <w:rPr>
          <w:rStyle w:val="C3"/>
          <w:rFonts w:ascii="楷体_GB2312" w:hAnsi="楷体_GB2312"/>
          <w:sz w:val="32"/>
        </w:rPr>
        <w:t xml:space="preserve">  </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司法保护</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09"/>
        <w:jc w:val="left"/>
        <w:rPr>
          <w:rStyle w:val="C3"/>
          <w:rFonts w:ascii="宋体" w:hAnsi="宋体"/>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 xml:space="preserve">  总则</w:t>
      </w:r>
    </w:p>
    <w:p>
      <w:pPr>
        <w:pStyle w:val="P1"/>
        <w:spacing w:lineRule="exact" w:line="580"/>
        <w:ind w:firstLine="609"/>
        <w:jc w:val="left"/>
        <w:rPr>
          <w:rStyle w:val="C3"/>
          <w:rFonts w:ascii="仿宋_GB2312" w:hAnsi="仿宋_GB2312"/>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为了保护未成年人身心健康，保障未成年人合法权益，促进未成年人在品德、智力、体质等方面全面发展，根据《中华人民共和国未成年人保护法》和有关法律、法规，结合自治区实际，制定本办法。</w:t>
      </w:r>
    </w:p>
    <w:p>
      <w:pPr>
        <w:pStyle w:val="P1"/>
        <w:spacing w:lineRule="exact" w:line="580"/>
        <w:ind w:firstLine="609"/>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保护未成年人是国家机关、武装力量、政党、社会团体、企业事业组织以及城乡基层群众性自治组织、未成年人的监护人和其他成年公民的共同责任。</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开展未成年人保护工作，应当坚持尊重未成年人人格尊严、教育与保护相结合以及适应未成年人身心发展规律和特点的原则。</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任何组织和个人对侵犯未成年人合法权益的行为都有权制止，或者向有关部门报告、检举和控告。</w:t>
      </w:r>
    </w:p>
    <w:p>
      <w:pPr>
        <w:pStyle w:val="P1"/>
        <w:spacing w:lineRule="exact" w:line="580"/>
        <w:ind w:firstLine="609"/>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县级以上人民政府应当建立健全未成年人保护工作机制，依法设立未成年人保护工作的机构，负责协调、指导、监督有关部门做好未成年人保护工作。</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未成年人保护工作的具体机构由自治区人民政府规定。</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人民政府、街道办事处应当有专</w:t>
      </w:r>
      <w:r>
        <w:rPr>
          <w:rStyle w:val="C3"/>
          <w:rFonts w:ascii="仿宋_GB2312" w:hAnsi="仿宋_GB2312"/>
          <w:sz w:val="32"/>
        </w:rPr>
        <w:t>(</w:t>
      </w:r>
      <w:r>
        <w:rPr>
          <w:rStyle w:val="C3"/>
          <w:rFonts w:ascii="Microsoft YaHei UI" w:hAnsi="Microsoft YaHei UI"/>
          <w:sz w:val="32"/>
        </w:rPr>
        <w:t>兼</w:t>
      </w:r>
      <w:r>
        <w:rPr>
          <w:rStyle w:val="C3"/>
          <w:rFonts w:ascii="仿宋_GB2312" w:hAnsi="仿宋_GB2312"/>
          <w:sz w:val="32"/>
        </w:rPr>
        <w:t>)</w:t>
      </w:r>
      <w:r>
        <w:rPr>
          <w:rStyle w:val="C3"/>
          <w:rFonts w:ascii="Microsoft YaHei UI" w:hAnsi="Microsoft YaHei UI"/>
          <w:sz w:val="32"/>
        </w:rPr>
        <w:t>职人员负责未成年人保护工作。</w:t>
      </w:r>
    </w:p>
    <w:p>
      <w:pPr>
        <w:pStyle w:val="P1"/>
        <w:spacing w:lineRule="exact" w:line="580"/>
        <w:ind w:firstLine="609"/>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共产主义青年团、妇女联合会、工会等有关社团组织，按照各自职责，协助各级人民政府以及有关国家机关做好未成年人保护工作，维护未成年人的合法权益。</w:t>
      </w:r>
    </w:p>
    <w:p>
      <w:pPr>
        <w:pStyle w:val="P1"/>
        <w:spacing w:lineRule="exact" w:line="580"/>
        <w:ind w:firstLine="609"/>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县级以上人民政府应当将未成年人保护工作纳入国民经济和社会发展总体规划和年度计划，将未成年人保护工作所需经费纳入本级财政预算。</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鼓励社会组织和个人为开展未成年人保护工作提供捐赠和资助。</w:t>
      </w:r>
    </w:p>
    <w:p>
      <w:pPr>
        <w:pStyle w:val="P1"/>
        <w:spacing w:lineRule="exact" w:line="580"/>
        <w:ind w:firstLine="609"/>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各级人民政府和有关部门对保护未成年人有显著成绩的组织和个人，给予表彰和奖励。</w:t>
      </w:r>
    </w:p>
    <w:p>
      <w:pPr>
        <w:pStyle w:val="P1"/>
        <w:spacing w:lineRule="exact" w:line="580"/>
        <w:ind w:firstLine="609"/>
        <w:jc w:val="left"/>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第二章  家庭保护</w:t>
      </w:r>
    </w:p>
    <w:p>
      <w:pPr>
        <w:pStyle w:val="P1"/>
        <w:spacing w:lineRule="exact" w:line="580"/>
        <w:ind w:firstLine="609"/>
        <w:jc w:val="left"/>
        <w:rPr>
          <w:rStyle w:val="C3"/>
          <w:rFonts w:ascii="仿宋_GB2312" w:hAnsi="仿宋_GB2312"/>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父母或者其他监护人应当创造良好、和睦的家庭环境，保护未成年人的身心健康和人身安全，尊重和保障未成年人在生存发展及教育保护等方面享有的权利，依法履行对未成年人的监护职责和抚养义务。</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父母或者其他监护人应当保证未成年人必要的物质和医疗保健条件，保障未成年人的休息和娱乐时间。</w:t>
      </w:r>
    </w:p>
    <w:p>
      <w:pPr>
        <w:pStyle w:val="P1"/>
        <w:spacing w:lineRule="exact" w:line="580"/>
        <w:ind w:firstLine="609"/>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父母或者其他监护人应当以健康的思想、良好的品行和适当的方法教育和影响未成年人。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父母或者其他监护人应当关心未成年人的学习、生活和交往情况，关注未成年人不同年龄阶段的生理、心理变化和思想道德状况，传授家庭生活、社会生活的知识和技能，教育未成年人养成良好的行为习惯和道德品质，引导未成年人参与家庭劳动、社会公益活动等有益身心健康的活动。</w:t>
      </w:r>
    </w:p>
    <w:p>
      <w:pPr>
        <w:pStyle w:val="P1"/>
        <w:spacing w:lineRule="exact" w:line="580"/>
        <w:ind w:firstLine="609"/>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父母或者其他监护人应当预防和制止未成年人的下列行为：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（一）偷窃、破坏公私财物；</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（二）赌博、吸毒；</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（三）携带危险物品、打架斗殴、辱骂他人；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（四）吸烟、酗酒、旷课、夜不归宿、离家出走、沉迷网络；</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（五）观看、阅读、收听、收集或者传播含有危害国家安全、淫秽、色情、暴力、邪教、迷信等内容的影视节目、音像制品、图书、报刊、电子出版物和网络信息等；</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（六）进入不适宜未成年人活动的场所；</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（七）其他不良行为。</w:t>
      </w:r>
    </w:p>
    <w:p>
      <w:pPr>
        <w:pStyle w:val="P1"/>
        <w:spacing w:lineRule="exact" w:line="580"/>
        <w:ind w:firstLine="609"/>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父母或者其他监护人不得有下列行为：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（一）放任、迫使义务教育阶段的未成年人失学、辍学；</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（二）为未成年人订立婚约、允许或者迫使未成年人结婚；</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（三）强迫未成年人参加有害其身心健康的活动；</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（四）对未成年人实施家庭暴力，歧视、虐待、伤害、遗弃未成年人；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（五）教唆、诱骗、胁迫、纵容或者包庇未成年人违法犯罪；</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（六）其他不履行对未成年人的监护职责和抚养义务、侵害未成年人合法权益或者影响其健康成长的行为。</w:t>
      </w:r>
    </w:p>
    <w:p>
      <w:pPr>
        <w:pStyle w:val="P1"/>
        <w:spacing w:lineRule="exact" w:line="580"/>
        <w:ind w:firstLine="609"/>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父母因外出务工或者其他原因不能对未成年人履行监护职责的，应当委托有监护能力的其他成年人代为监护。接受委托的监护人，应当履行监护职责，保护被监护人的人身、财产及其他合法权益。</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委托监护的，委托人应当将委托监护情况告知未成年人所在学校、居民委员会或者村民委员会。</w:t>
      </w:r>
    </w:p>
    <w:p>
      <w:pPr>
        <w:pStyle w:val="P1"/>
        <w:spacing w:lineRule="exact" w:line="580"/>
        <w:ind w:firstLine="609"/>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学校保护</w:t>
      </w:r>
    </w:p>
    <w:p>
      <w:pPr>
        <w:pStyle w:val="P1"/>
        <w:spacing w:lineRule="exact" w:line="580"/>
        <w:ind w:firstLine="609"/>
        <w:jc w:val="left"/>
        <w:rPr>
          <w:rStyle w:val="C3"/>
          <w:rFonts w:ascii="仿宋_GB2312" w:hAnsi="仿宋_GB2312"/>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学校和教师应当全面贯彻国家教育方针，严格执行国家教育行政部门规定的教育教学大纲和课程设置，关心未成年学生的身心健康，减轻学生课业负担，促进未成年学生在品德、智力、体质等方面全面发展。</w:t>
      </w:r>
    </w:p>
    <w:p>
      <w:pPr>
        <w:pStyle w:val="P1"/>
        <w:spacing w:lineRule="exact" w:line="580"/>
        <w:ind w:firstLine="609"/>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学校应当在教育教学活动以及组织学生参加文化、艺术、娱乐、体育、科技、社会实践等集体活动中，注重培养未成年学生独立思考能力、创新能力和实践能力。</w:t>
      </w:r>
    </w:p>
    <w:p>
      <w:pPr>
        <w:pStyle w:val="P1"/>
        <w:spacing w:lineRule="exact" w:line="580"/>
        <w:ind w:firstLine="609"/>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学校和教师不得有下列行为：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（一）拒收应当接受义务教育的未成年人入学；</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（二）违反国家规定向未成年学生收取费用；</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（三）以各种形式设重点班和非重点班；</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（四）在义务教育阶段公开未成年学生的学习成绩排名；</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（五）在义务教育阶段举行或者变相举行与入学挂钩的选拔考试或者测试；</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（六）随意责令未成年学生停课；</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（七）歧视品行有缺点、学习有困难的未成年学生；</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（八）对未成年学生实施体罚、变相体罚或者其他侮辱人格尊严的行为；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（九）违反法律和国家规定开除未成年学生；</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（十）未经县级以上人民政府教育行政部门批准，占用未成年学生寒暑假、法定节假日举办各种名目的补习班；</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（十一）组织未成年学生参加营利性或者与学生年龄、身心健康等不相适应的活动。</w:t>
      </w:r>
    </w:p>
    <w:p>
      <w:pPr>
        <w:pStyle w:val="P1"/>
        <w:spacing w:lineRule="exact" w:line="580"/>
        <w:ind w:firstLine="609"/>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学校应当根据未成年学生的身心特点，对未成年学生进行社会生活指导、心理健康辅导和青春期教育。</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学校和教师应当对未成年学生的家庭状况、经济条件、成长经历、心理健康咨询情况等个人信息保密。</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未成年学生在校期间所受的处分不记入个人档案。</w:t>
      </w:r>
    </w:p>
    <w:p>
      <w:pPr>
        <w:pStyle w:val="P1"/>
        <w:spacing w:lineRule="exact" w:line="580"/>
        <w:ind w:firstLine="609"/>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学校、幼儿园、托儿所应当建立健全校园安全制度，采取必要的措施，加强校园安全管理工作。</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学校、幼儿园、托儿所应当在校园出入口、教学楼、食堂、饮用水供给、实验室等要害部位以及易发安全事故场所，采取安装视频监控和红外线报警器等措施，加强校园安全的监控和防范。</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学校、幼儿园、托儿所发现校舍和相关设施、设备存在安全问题，应当采取有效措施及时处理，无法处理的应当及时报告有关主管部门。</w:t>
      </w:r>
    </w:p>
    <w:p>
      <w:pPr>
        <w:pStyle w:val="P1"/>
        <w:spacing w:lineRule="exact" w:line="580"/>
        <w:ind w:firstLine="609"/>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学校、幼儿园、托儿所应当加强对未成年人的安全教育和管理，组织教学和文化娱乐、社会实践等集体活动时，应当有利于未成年人健康成长，防止发生安全事故。</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学校、幼儿园、托儿所对在校园内或者本单位组织的校外活动中发生安全事故的，应当优先保护未成年人的安全，及时救助，妥善处理，并向有关主管部门报告。报告的内容应当真实，不得瞒报、迟报和谎报。</w:t>
      </w:r>
    </w:p>
    <w:p>
      <w:pPr>
        <w:pStyle w:val="P1"/>
        <w:spacing w:lineRule="exact" w:line="580"/>
        <w:ind w:firstLine="609"/>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教育行政部门和学校、幼儿园、托儿所应当制定应对各种灾害、传染性疾病、食物中毒、意外伤害等突发事件应急预案，配备相应设施并进行必要的演练。对地震、火灾应急和自救、救护演练每学期不少于一次。</w:t>
      </w:r>
    </w:p>
    <w:p>
      <w:pPr>
        <w:pStyle w:val="P1"/>
        <w:spacing w:lineRule="exact" w:line="580"/>
        <w:ind w:firstLine="609"/>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寄宿制学校应当向未成年学生提供安全的食宿条件，建立完善的食宿管理制度，确保未成年学生的人身、财产安全。</w:t>
      </w:r>
    </w:p>
    <w:p>
      <w:pPr>
        <w:pStyle w:val="P1"/>
        <w:spacing w:lineRule="exact" w:line="580"/>
        <w:ind w:firstLine="609"/>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幼儿园、托儿所应当根据幼儿教育和身体发育特点，提供适宜的活动场所和日常用品，制定适合其发育的营养食谱，按时、足量提供安全食品。</w:t>
      </w:r>
    </w:p>
    <w:p>
      <w:pPr>
        <w:pStyle w:val="P1"/>
        <w:spacing w:lineRule="exact" w:line="580"/>
        <w:ind w:firstLine="609"/>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学校、幼儿园、托儿所应当使用经公安、交通管理部门确认合格的客运车辆接送未成年人。</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接送未成年人的校车应当设置统一标识，配备除驾驶员以外的管理人员，保障未成年人安全。</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禁止学校、幼儿园、托儿所出租校园场地停放机动车辆。</w:t>
      </w:r>
    </w:p>
    <w:p>
      <w:pPr>
        <w:pStyle w:val="P1"/>
        <w:spacing w:lineRule="exact" w:line="580"/>
        <w:ind w:firstLine="609"/>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社会保护</w:t>
      </w:r>
    </w:p>
    <w:p>
      <w:pPr>
        <w:pStyle w:val="P1"/>
        <w:spacing w:lineRule="exact" w:line="580"/>
        <w:ind w:firstLine="609"/>
        <w:jc w:val="left"/>
        <w:rPr>
          <w:rStyle w:val="C3"/>
          <w:rFonts w:ascii="仿宋_GB2312" w:hAnsi="仿宋_GB2312"/>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县级以上人民政府应当根据本地区经济、社会、文化、人口及未成年人发展需要，将新建、改建、扩建未成年人文化、科技、体育、娱乐等活动场所纳入城乡发展规划，建设经费纳入本级财政预算。</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各县（市、区）应当至少有一所综合性、多功能的未成年人活动场所。</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未成年人活动场所或者设施不得非法转让、侵占，不得改变其用途。</w:t>
      </w:r>
    </w:p>
    <w:p>
      <w:pPr>
        <w:pStyle w:val="P1"/>
        <w:spacing w:lineRule="exact" w:line="580"/>
        <w:ind w:firstLine="609"/>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爱国主义教育基地、图书馆、科技馆、博物馆、纪念馆、文化馆</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、美术馆、青少年宫、儿童活动中心、公园应当对未成年人免费开放。</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体育馆</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、影剧院、文化宫、动物园、植物园等场所及设施</w:t>
      </w:r>
      <w:r>
        <w:rPr>
          <w:rStyle w:val="C3"/>
          <w:rFonts w:ascii="仿宋_GB2312" w:hAnsi="仿宋_GB2312"/>
          <w:sz w:val="32"/>
        </w:rPr>
        <w:t xml:space="preserve">, </w:t>
      </w:r>
      <w:r>
        <w:rPr>
          <w:rStyle w:val="C3"/>
          <w:rFonts w:ascii="Microsoft YaHei UI" w:hAnsi="Microsoft YaHei UI"/>
          <w:sz w:val="32"/>
        </w:rPr>
        <w:t>对未成年人和由学校集体组织的参观、游览活动实行免费或者优惠。</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鼓励机关、企业事业等单位将内部的文化体育设施向未成年人开放。</w:t>
      </w:r>
    </w:p>
    <w:p>
      <w:pPr>
        <w:pStyle w:val="P1"/>
        <w:spacing w:lineRule="exact" w:line="580"/>
        <w:ind w:firstLine="609"/>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未成年人集中活动的公共场所，应当设置安全警示标志</w:t>
      </w:r>
      <w:r>
        <w:rPr>
          <w:rStyle w:val="C3"/>
          <w:rFonts w:ascii="仿宋_GB2312" w:hAnsi="仿宋_GB2312"/>
          <w:sz w:val="32"/>
        </w:rPr>
        <w:t>,</w:t>
      </w:r>
      <w:r>
        <w:rPr>
          <w:rStyle w:val="C3"/>
          <w:rFonts w:ascii="Microsoft YaHei UI" w:hAnsi="Microsoft YaHei UI"/>
          <w:sz w:val="32"/>
        </w:rPr>
        <w:t>并采取相应的保护措施。</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对可能危及未成年人人身安全的设施，经营、管理单位应当设置安全防护措施，并在显著位置设置警示标志。</w:t>
      </w:r>
    </w:p>
    <w:p>
      <w:pPr>
        <w:pStyle w:val="P1"/>
        <w:spacing w:lineRule="exact" w:line="580"/>
        <w:ind w:firstLine="609"/>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中小学校、中等专业学校周围二百米范围内和居民住宅楼（院）内，不得设立互联网服务营业场所。</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互联网服务营业场所应当在入口、大厅等位置设置明显禁止未成年人进入的警示标志，不得允许未成年人进入；对难以判明是否已成年的，应当要求其出示身份证件。</w:t>
      </w:r>
    </w:p>
    <w:p>
      <w:pPr>
        <w:pStyle w:val="P1"/>
        <w:spacing w:lineRule="exact" w:line="580"/>
        <w:ind w:firstLine="609"/>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文化行政部门、工商行政管理部门、公安机关应当加强互联网服务营业场所的监督管理，依法查处接纳未成年人进入营业场所的行为。</w:t>
      </w:r>
    </w:p>
    <w:p>
      <w:pPr>
        <w:pStyle w:val="P1"/>
        <w:spacing w:lineRule="exact" w:line="580"/>
        <w:ind w:firstLine="609"/>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各级人民政府应当推进农村寄宿制学校的建设，为留守未成年人提供良好的学习生活环境。</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教育行政部门应当妥善安排流动人口中的未成年人入学，保证其接受义务教育。</w:t>
      </w:r>
    </w:p>
    <w:p>
      <w:pPr>
        <w:pStyle w:val="P1"/>
        <w:spacing w:lineRule="exact" w:line="580"/>
        <w:ind w:firstLine="609"/>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民政部门应当建立完善和落实未成年人救助制度，对流浪乞讨、孤儿、弃儿、生活无着、贫困辍学等需要帮助的未成年人提供救助。</w:t>
      </w:r>
    </w:p>
    <w:p>
      <w:pPr>
        <w:pStyle w:val="P1"/>
        <w:spacing w:lineRule="exact" w:line="580"/>
        <w:ind w:firstLine="609"/>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人力资源和社会保障等部门应当根据实际情况，为已经完成义务教育不再升学的未成年人进行职业技术培训。</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教育、人力资源和社会保障、民政、残联等有关部门，应当为聋、哑、盲、智力障碍等生理、心理有缺陷的未成年人，提供定向培训条件。</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鼓励、支持社会组织和个人为聋、哑、盲、智力障碍等生理、心理有缺陷的未成年人兴办福利事业。</w:t>
      </w:r>
    </w:p>
    <w:p>
      <w:pPr>
        <w:pStyle w:val="P1"/>
        <w:spacing w:lineRule="exact" w:line="580"/>
        <w:ind w:firstLine="609"/>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加强广播、电影、电视、戏曲节目以及各类演播场所的管理，鼓励创作、出版、发行、展出、演出、播放适合未成年人特点，有利于未成年人身心健康的影视、录音、录像、图书、报刊、计算机软件、文艺节目和其他精神文化产品。</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禁止向未成年人提供或者展示内容、情节不适合未成年人观看、阅读，不利于未成年人身心健康的影视、录音、录像、图书、报刊、计算机软件、文艺节目和其他文化产品。</w:t>
      </w:r>
    </w:p>
    <w:p>
      <w:pPr>
        <w:pStyle w:val="P1"/>
        <w:spacing w:lineRule="exact" w:line="580"/>
        <w:ind w:firstLine="609"/>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学校、文化馆（站）、青少年宫、图书馆、书店等建立的公益性互联网上网服务场所，应当免费为未成年人提供安全、健康的上网服务。</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公益性上网场所不得以营利为目的，不得出租或者承包。</w:t>
      </w:r>
    </w:p>
    <w:p>
      <w:pPr>
        <w:pStyle w:val="P1"/>
        <w:spacing w:lineRule="exact" w:line="580"/>
        <w:ind w:firstLine="609"/>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司法保护</w:t>
      </w:r>
    </w:p>
    <w:p>
      <w:pPr>
        <w:pStyle w:val="P1"/>
        <w:spacing w:lineRule="exact" w:line="580"/>
        <w:ind w:firstLine="609"/>
        <w:jc w:val="left"/>
        <w:rPr>
          <w:rStyle w:val="C3"/>
          <w:rFonts w:ascii="仿宋_GB2312" w:hAnsi="仿宋_GB2312"/>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公安机关、人民检察院、人民法院以及司法行政部门，应当依法履行职责，在司法活动中保护未成年人的合法权益。</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严厉打击各种针对未成年人的违法犯罪活动。</w:t>
      </w:r>
    </w:p>
    <w:p>
      <w:pPr>
        <w:pStyle w:val="P1"/>
        <w:spacing w:lineRule="exact" w:line="580"/>
        <w:ind w:firstLine="609"/>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各级公安机关应当在有条件的中、小学校、幼儿园设警务室，并在学生上学、放学期间，对学校周边巡逻、执勤。</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公安交通管理部门应当加强对学校附近的道路交通监管</w:t>
      </w:r>
      <w:r>
        <w:rPr>
          <w:rStyle w:val="C3"/>
          <w:rFonts w:ascii="仿宋_GB2312" w:hAnsi="仿宋_GB2312"/>
          <w:sz w:val="32"/>
        </w:rPr>
        <w:t>,</w:t>
      </w:r>
      <w:r>
        <w:rPr>
          <w:rStyle w:val="C3"/>
          <w:rFonts w:ascii="Microsoft YaHei UI" w:hAnsi="Microsoft YaHei UI"/>
          <w:sz w:val="32"/>
        </w:rPr>
        <w:t>合理设置交通警示标志和机动车辆减速设施。</w:t>
      </w:r>
    </w:p>
    <w:p>
      <w:pPr>
        <w:pStyle w:val="P1"/>
        <w:spacing w:lineRule="exact" w:line="580"/>
        <w:ind w:firstLine="609"/>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公安机关、人民检察院、人民法院和监狱、收容教养机关在办理未成年人违法犯罪案件或者对其进行教育、改造时，应向其宣布应有的权利，依法保护他们的合法权益，尊重他们的人格，严禁辱骂和体罚。</w:t>
      </w:r>
    </w:p>
    <w:p>
      <w:pPr>
        <w:pStyle w:val="P1"/>
        <w:spacing w:lineRule="exact" w:line="580"/>
        <w:ind w:firstLine="609"/>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人民法院审理未成年人犯罪案件，应当采取适合未成年人身心特点的审判方式，由熟悉未成年人身心特点、善于做未成年人思想教育工作、具有未成年人犯罪案件审理经验的人员承办。</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人民法院在审理未成年人案件时，对被告人没有委托辩护人的，应当为其指定辩护人，并通知其法定监护人或者对教育、挽救未成年人有利的有关人员到庭。</w:t>
      </w:r>
    </w:p>
    <w:p>
      <w:pPr>
        <w:pStyle w:val="P1"/>
        <w:spacing w:lineRule="exact" w:line="580"/>
        <w:ind w:firstLine="609"/>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法律责任</w:t>
      </w:r>
    </w:p>
    <w:p>
      <w:pPr>
        <w:pStyle w:val="P1"/>
        <w:spacing w:lineRule="exact" w:line="580"/>
        <w:jc w:val="center"/>
        <w:rPr>
          <w:rStyle w:val="C3"/>
          <w:rFonts w:ascii="黑体" w:hAnsi="黑体"/>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违反本办法规定，侵害未成年人合法权益，其他法律、法规已规定行政处罚的，从其规定；造成人身财产损失或者其他损害的，依法承担民事责任；构成犯罪的，依法追究刑事责任。</w:t>
      </w:r>
    </w:p>
    <w:p>
      <w:pPr>
        <w:pStyle w:val="P1"/>
        <w:spacing w:lineRule="exact" w:line="580"/>
        <w:ind w:firstLine="609"/>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违反本办法第九条、第十条、第十一条规定的，由其所在单位或者居民委员会、村民委员会予以劝诫、制止；构成违反治安管理行为的，由公安机关依法给予行政处罚；构成犯罪的，依法追究刑事责任。</w:t>
      </w:r>
    </w:p>
    <w:p>
      <w:pPr>
        <w:pStyle w:val="P1"/>
        <w:spacing w:lineRule="exact" w:line="580"/>
        <w:ind w:firstLine="609"/>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违反本办法第十四条规定之一的，由教育行政部门对其主要负责人和直接责任人给予处分；构成犯罪的，依法追究刑事责任。</w:t>
      </w:r>
    </w:p>
    <w:p>
      <w:pPr>
        <w:pStyle w:val="P1"/>
        <w:spacing w:lineRule="exact" w:line="580"/>
        <w:ind w:firstLine="609"/>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违反本办法第十六条、第十七条规定的，由教育行政部门对其主要负责人给予处分；构成犯罪的，依法追究刑事责任。</w:t>
      </w:r>
    </w:p>
    <w:p>
      <w:pPr>
        <w:pStyle w:val="P1"/>
        <w:spacing w:lineRule="exact" w:line="580"/>
        <w:ind w:firstLine="609"/>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违反本办法第二十五条第一款规定的，由文化行政部门、工商行政管理部门依法予以关闭，并处二万元以上十万元以下罚款。</w:t>
      </w:r>
    </w:p>
    <w:p>
      <w:pPr>
        <w:pStyle w:val="P1"/>
        <w:spacing w:lineRule="exact" w:line="580"/>
        <w:ind w:firstLine="609"/>
        <w:jc w:val="left"/>
        <w:rPr>
          <w:rStyle w:val="C3"/>
          <w:rFonts w:ascii="仿宋_GB2312" w:hAnsi="仿宋_GB2312"/>
          <w:sz w:val="32"/>
        </w:rPr>
      </w:pPr>
      <w:r>
        <w:rPr>
          <w:rStyle w:val="C3"/>
          <w:rFonts w:ascii="Microsoft YaHei UI" w:hAnsi="Microsoft YaHei UI"/>
          <w:sz w:val="32"/>
        </w:rPr>
        <w:t>违反本办法第二十五条第二款规定的，由文化行政部门给予警告，责令停业整顿，并处五千元以上二万元以下罚款；情节严重的，由文化行政部门依法吊销经营许可证，由工商行政管理部门依法吊销营业执照。</w:t>
      </w:r>
      <w:r>
        <w:rPr>
          <w:rStyle w:val="C3"/>
          <w:rFonts w:ascii="仿宋_GB2312" w:hAnsi="仿宋_GB2312"/>
          <w:sz w:val="32"/>
        </w:rPr>
        <w:t xml:space="preserve"> </w:t>
      </w:r>
    </w:p>
    <w:p>
      <w:pPr>
        <w:pStyle w:val="P1"/>
        <w:spacing w:lineRule="exact" w:line="580"/>
        <w:ind w:firstLine="609"/>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办法第三十条第二款规定的，由工商、公安、文化、新闻出版等行政部门依照职权没收违法文化产品和违法所得，并处二万元以上十万元以下罚款；对单位直接负责的主管人员和其他直接责任人员处一万元以上五万元以下罚款。</w:t>
      </w:r>
    </w:p>
    <w:p>
      <w:pPr>
        <w:pStyle w:val="P1"/>
        <w:spacing w:lineRule="exact" w:line="580"/>
        <w:ind w:firstLine="609"/>
        <w:jc w:val="left"/>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违反本办法第三十一条第二款的，由文化行政部门责令改正，对直接负责的主管人员和其他直接责任人员给予处分。</w:t>
      </w:r>
    </w:p>
    <w:p>
      <w:pPr>
        <w:pStyle w:val="P1"/>
        <w:spacing w:lineRule="exact" w:line="580"/>
        <w:ind w:firstLine="609"/>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违反本办法第三十四条规定，情节较重的，依法给予处分或者行政处罚；构成犯罪的，依法追究刑事责任。</w:t>
      </w:r>
    </w:p>
    <w:p>
      <w:pPr>
        <w:pStyle w:val="P1"/>
        <w:spacing w:lineRule="exact" w:line="580"/>
        <w:ind w:firstLine="609"/>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有关部门、单位及其工作人员对侵害未成年人合法权益的行为不依法履行职责，或者滥用职权、玩忽职守、徇私舞弊的，对直接负责的主管人员和直接责任人员依法给予处分；构成犯罪的，依法追究刑事责任。</w:t>
      </w:r>
    </w:p>
    <w:p>
      <w:pPr>
        <w:pStyle w:val="P1"/>
        <w:spacing w:lineRule="exact" w:line="580"/>
        <w:ind w:firstLine="609"/>
        <w:jc w:val="left"/>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附  则</w:t>
      </w:r>
    </w:p>
    <w:p>
      <w:pPr>
        <w:pStyle w:val="P1"/>
        <w:spacing w:lineRule="exact" w:line="580"/>
        <w:ind w:firstLine="609"/>
        <w:jc w:val="left"/>
        <w:rPr>
          <w:rStyle w:val="C3"/>
          <w:rFonts w:ascii="仿宋_GB2312" w:hAnsi="仿宋_GB2312"/>
          <w:sz w:val="32"/>
        </w:rPr>
      </w:pPr>
    </w:p>
    <w:p>
      <w:pPr>
        <w:pStyle w:val="P1"/>
        <w:spacing w:lineRule="exact" w:line="580"/>
        <w:ind w:firstLine="609"/>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09"/>
        <w:jc w:val="left"/>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批注框文本 Char"/>
    <w:link w:val="P5"/>
    <w:rPr>
      <w:sz w:val="18"/>
    </w:rPr>
  </w:style>
  <w:style w:type="character" w:styleId="C7">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2024-08-28T01:35:33Z</dcterms:modified>
  <cp:revision>5</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