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FEB1BB" Type="http://schemas.openxmlformats.org/officeDocument/2006/relationships/officeDocument" Target="/word/document.xml" /><Relationship Id="coreR46FEB1BB" Type="http://schemas.openxmlformats.org/package/2006/relationships/metadata/core-properties" Target="/docProps/core.xml" /><Relationship Id="customR46FEB1B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天津市文物保护条例</w:t>
      </w:r>
    </w:p>
    <w:p>
      <w:pPr>
        <w:pStyle w:val="P1"/>
        <w:spacing w:lineRule="exact" w:line="560"/>
        <w:contextualSpacing w:val="1"/>
        <w:jc w:val="center"/>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楷体_GB2312" w:hAnsi="楷体_GB2312"/>
        </w:rPr>
        <w:t>(2007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日天津市第十四届人民代表大会常务委员会第四十次会议通过</w:t>
      </w:r>
      <w:r>
        <w:rPr>
          <w:rStyle w:val="C3"/>
          <w:rFonts w:ascii="楷体_GB2312" w:hAnsi="楷体_GB2312"/>
        </w:rPr>
        <w:t>)</w:t>
      </w:r>
    </w:p>
    <w:p>
      <w:pPr>
        <w:pStyle w:val="P1"/>
        <w:spacing w:lineRule="exact" w:line="560"/>
        <w:contextualSpacing w:val="1"/>
        <w:rPr>
          <w:rStyle w:val="C3"/>
          <w:rFonts w:ascii="Adobe 仿宋 Std R" w:hAnsi="Adobe 仿宋 Std R"/>
          <w:b w:val="1"/>
        </w:rPr>
      </w:pP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为了加强对文物的保护，根据《</w:t>
      </w:r>
      <w:r>
        <w:rPr>
          <w:rStyle w:val="C3"/>
          <w:rFonts w:ascii="仿宋_GB2312" w:hAnsi="仿宋_GB2312"/>
        </w:rPr>
        <w:fldChar w:fldCharType="begin"/>
      </w:r>
      <w:r>
        <w:instrText>HYPERLINK "javascript:SLC(100684,0)"</w:instrText>
      </w:r>
      <w:r>
        <w:fldChar w:fldCharType="separate"/>
      </w:r>
      <w:r>
        <w:rPr>
          <w:rFonts w:ascii="方正姚体" w:hAnsi="方正姚体"/>
        </w:rPr>
        <w:t>中华人民共和国文物保护法</w:t>
      </w:r>
      <w:r>
        <w:fldChar w:fldCharType="end"/>
      </w:r>
      <w:r>
        <w:rPr>
          <w:rStyle w:val="C3"/>
          <w:rFonts w:ascii="Microsoft YaHei UI" w:hAnsi="Microsoft YaHei UI"/>
        </w:rPr>
        <w:t>》、《</w:t>
      </w:r>
      <w:r>
        <w:rPr>
          <w:rStyle w:val="C3"/>
          <w:rFonts w:ascii="仿宋_GB2312" w:hAnsi="仿宋_GB2312"/>
        </w:rPr>
        <w:fldChar w:fldCharType="begin"/>
      </w:r>
      <w:r>
        <w:instrText>HYPERLINK "javascript:SLC(46302,0)"</w:instrText>
      </w:r>
      <w:r>
        <w:fldChar w:fldCharType="separate"/>
      </w:r>
      <w:r>
        <w:rPr>
          <w:rFonts w:ascii="方正姚体" w:hAnsi="方正姚体"/>
        </w:rPr>
        <w:t>中华人民共和国文物保护法实施条例</w:t>
      </w:r>
      <w:r>
        <w:fldChar w:fldCharType="end"/>
      </w:r>
      <w:r>
        <w:rPr>
          <w:rStyle w:val="C3"/>
          <w:rFonts w:ascii="Microsoft YaHei UI" w:hAnsi="Microsoft YaHei UI"/>
        </w:rPr>
        <w:t>》等法律、法规规定，结合本市实际情况，制定本条例。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本市行政区域内文物的保护、利用和管理，适用本条例。</w:t>
      </w:r>
    </w:p>
    <w:p>
      <w:pPr>
        <w:pStyle w:val="P1"/>
        <w:spacing w:lineRule="exact" w:line="560"/>
        <w:contextualSpacing w:val="1"/>
        <w:rPr>
          <w:rStyle w:val="C3"/>
          <w:rFonts w:ascii="仿宋_GB2312" w:hAnsi="仿宋_GB2312"/>
        </w:rPr>
      </w:pPr>
      <w:r>
        <w:rPr>
          <w:rStyle w:val="C3"/>
          <w:rFonts w:ascii="Microsoft YaHei UI" w:hAnsi="Microsoft YaHei UI"/>
        </w:rPr>
        <w:t>　　文物保护的范围按照《</w:t>
      </w:r>
      <w:r>
        <w:rPr>
          <w:rStyle w:val="C3"/>
          <w:rFonts w:ascii="仿宋_GB2312" w:hAnsi="仿宋_GB2312"/>
        </w:rPr>
        <w:fldChar w:fldCharType="begin"/>
      </w:r>
      <w:r>
        <w:instrText>HYPERLINK "javascript:SLC(100684,0)"</w:instrText>
      </w:r>
      <w:r>
        <w:fldChar w:fldCharType="separate"/>
      </w:r>
      <w:r>
        <w:rPr>
          <w:rFonts w:ascii="方正姚体" w:hAnsi="方正姚体"/>
        </w:rPr>
        <w:t>中华人民共和国文物保护法</w:t>
      </w:r>
      <w:r>
        <w:fldChar w:fldCharType="end"/>
      </w:r>
      <w:r>
        <w:rPr>
          <w:rStyle w:val="C3"/>
          <w:rFonts w:ascii="Microsoft YaHei UI" w:hAnsi="Microsoft YaHei UI"/>
        </w:rPr>
        <w:t>》第</w:t>
      </w:r>
      <w:r>
        <w:rPr>
          <w:rStyle w:val="C3"/>
          <w:rFonts w:ascii="仿宋_GB2312" w:hAnsi="仿宋_GB2312"/>
        </w:rPr>
        <w:fldChar w:fldCharType="begin"/>
      </w:r>
      <w:r>
        <w:instrText>HYPERLINK "javascript:SLC(100684,2)"</w:instrText>
      </w:r>
      <w:r>
        <w:fldChar w:fldCharType="separate"/>
      </w:r>
      <w:r>
        <w:rPr>
          <w:rFonts w:ascii="方正姚体" w:hAnsi="方正姚体"/>
        </w:rPr>
        <w:t>二条</w:t>
      </w:r>
      <w:r>
        <w:fldChar w:fldCharType="end"/>
      </w:r>
      <w:r>
        <w:rPr>
          <w:rStyle w:val="C3"/>
          <w:rFonts w:ascii="Microsoft YaHei UI" w:hAnsi="Microsoft YaHei UI"/>
        </w:rPr>
        <w:t>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本市各级人民政府负责本行政区域内的文物保护工作。</w:t>
      </w:r>
    </w:p>
    <w:p>
      <w:pPr>
        <w:pStyle w:val="P1"/>
        <w:spacing w:lineRule="exact" w:line="560"/>
        <w:contextualSpacing w:val="1"/>
        <w:rPr>
          <w:rStyle w:val="C3"/>
          <w:rFonts w:ascii="仿宋_GB2312" w:hAnsi="仿宋_GB2312"/>
        </w:rPr>
      </w:pPr>
      <w:r>
        <w:rPr>
          <w:rStyle w:val="C3"/>
          <w:rFonts w:ascii="Microsoft YaHei UI" w:hAnsi="Microsoft YaHei UI"/>
        </w:rPr>
        <w:t>　　市文物行政管理部门对全市行政区域内的文物保护实施监督管理。市文物行政管理部门可以根据工作需要，在其法定权限范围内，委托其直属的文物管理中心履行行政执法职责。</w:t>
      </w:r>
    </w:p>
    <w:p>
      <w:pPr>
        <w:pStyle w:val="P1"/>
        <w:spacing w:lineRule="exact" w:line="560"/>
        <w:contextualSpacing w:val="1"/>
        <w:rPr>
          <w:rStyle w:val="C3"/>
          <w:rFonts w:ascii="仿宋_GB2312" w:hAnsi="仿宋_GB2312"/>
        </w:rPr>
      </w:pPr>
      <w:r>
        <w:rPr>
          <w:rStyle w:val="C3"/>
          <w:rFonts w:ascii="Microsoft YaHei UI" w:hAnsi="Microsoft YaHei UI"/>
        </w:rPr>
        <w:t>　　区、县文物行政管理部门对所辖行政区域内的文物保护实施监督管理。</w:t>
      </w:r>
    </w:p>
    <w:p>
      <w:pPr>
        <w:pStyle w:val="P1"/>
        <w:spacing w:lineRule="exact" w:line="560"/>
        <w:contextualSpacing w:val="1"/>
        <w:rPr>
          <w:rStyle w:val="C3"/>
          <w:rFonts w:ascii="仿宋_GB2312" w:hAnsi="仿宋_GB2312"/>
        </w:rPr>
      </w:pPr>
      <w:r>
        <w:rPr>
          <w:rStyle w:val="C3"/>
          <w:rFonts w:ascii="Microsoft YaHei UI" w:hAnsi="Microsoft YaHei UI"/>
        </w:rPr>
        <w:t>　　市发展改革、建设、规划、国土房管、公安、工商、水利、园林、宗教、旅游等行政管理部门应当依法认真履行所承担的保护文物的职责，维护文物管理秩序。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市和区、县人民政府应当将文物保护事业纳入本级国民经济和社会发展规划，所需经费列入本级财政预算。本市用于文物保护的财政拨款随着财政收入增长而增加。</w:t>
      </w:r>
    </w:p>
    <w:p>
      <w:pPr>
        <w:pStyle w:val="P1"/>
        <w:spacing w:lineRule="exact" w:line="560"/>
        <w:contextualSpacing w:val="1"/>
        <w:rPr>
          <w:rStyle w:val="C3"/>
          <w:rFonts w:ascii="仿宋_GB2312" w:hAnsi="仿宋_GB2312"/>
        </w:rPr>
      </w:pPr>
      <w:r>
        <w:rPr>
          <w:rStyle w:val="C3"/>
          <w:rFonts w:ascii="Microsoft YaHei UI" w:hAnsi="Microsoft YaHei UI"/>
        </w:rPr>
        <w:t>　　市和区、县人民政府根据实际工作需要，设立文物保护专项经费，用于文物保护。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市文物行政管理部门应当根据文物保护的实际需要，制定本市文物保护规划。</w:t>
      </w:r>
    </w:p>
    <w:p>
      <w:pPr>
        <w:pStyle w:val="P1"/>
        <w:spacing w:lineRule="exact" w:line="560"/>
        <w:contextualSpacing w:val="1"/>
        <w:rPr>
          <w:rStyle w:val="C3"/>
          <w:rFonts w:ascii="仿宋_GB2312" w:hAnsi="仿宋_GB2312"/>
        </w:rPr>
      </w:pPr>
      <w:r>
        <w:rPr>
          <w:rStyle w:val="C3"/>
          <w:rFonts w:ascii="Microsoft YaHei UI" w:hAnsi="Microsoft YaHei UI"/>
        </w:rPr>
        <w:t>　　文物保护规划纳入城市总体规划。土地利用规划、城乡建设规划、生态建设规划应当与文物保护规划相衔接。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各级人民政府及其文物、教育等部门以及报刊、广播、电视、网络等媒体，应当加强文物保护法律、法规和优秀历史文化遗产保护的宣传教育工作，增强全社会的文物保护意识。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鼓励自然人、法人和其他组织通过捐赠等方式支持文物保护事业，设立文物保护社会基金，专门用于文物保护。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市和区、县人民政府应当建立文物普查制度，定期对不可移动文物开展普查工作。</w:t>
      </w:r>
    </w:p>
    <w:p>
      <w:pPr>
        <w:pStyle w:val="P1"/>
        <w:spacing w:lineRule="exact" w:line="560"/>
        <w:contextualSpacing w:val="1"/>
        <w:rPr>
          <w:rStyle w:val="C3"/>
          <w:rFonts w:ascii="仿宋_GB2312" w:hAnsi="仿宋_GB2312"/>
        </w:rPr>
      </w:pPr>
      <w:r>
        <w:rPr>
          <w:rStyle w:val="C3"/>
          <w:rFonts w:ascii="Microsoft YaHei UI" w:hAnsi="Microsoft YaHei UI"/>
        </w:rPr>
        <w:t>　　区、县人民政府负责定期对所辖行政区域内的不可移动文物进行普查登记。普查登记结果向市文物行政管理部门备案。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市文物行政管理部门设立由专家组成的文物鉴定委员会，负责文物和文物级别的鉴定、评估。鉴定、评估结论作为对不可移动文物、馆藏文物和其他国有文物保护管理的依据。</w:t>
      </w:r>
    </w:p>
    <w:p>
      <w:pPr>
        <w:pStyle w:val="P1"/>
        <w:spacing w:lineRule="exact" w:line="560"/>
        <w:contextualSpacing w:val="1"/>
        <w:rPr>
          <w:rStyle w:val="C3"/>
          <w:rFonts w:ascii="仿宋_GB2312" w:hAnsi="仿宋_GB2312"/>
        </w:rPr>
      </w:pPr>
      <w:r>
        <w:rPr>
          <w:rStyle w:val="C3"/>
          <w:rFonts w:ascii="Microsoft YaHei UI" w:hAnsi="Microsoft YaHei UI"/>
        </w:rPr>
        <w:t>　　文物鉴定委员会可以依法接受司法机关的委托，对涉案文物进行鉴定。</w:t>
      </w:r>
    </w:p>
    <w:p>
      <w:pPr>
        <w:pStyle w:val="P1"/>
        <w:spacing w:lineRule="exact" w:line="560"/>
        <w:contextualSpacing w:val="1"/>
        <w:rPr>
          <w:rStyle w:val="C3"/>
          <w:rFonts w:ascii="仿宋_GB2312" w:hAnsi="仿宋_GB2312"/>
        </w:rPr>
      </w:pPr>
      <w:r>
        <w:rPr>
          <w:rStyle w:val="C3"/>
          <w:rFonts w:ascii="Microsoft YaHei UI" w:hAnsi="Microsoft YaHei UI"/>
        </w:rPr>
        <w:t>　　文物鉴定委员会的专家由市文物行政管理部门在具有相关专业知识的专家学者中聘请。</w:t>
      </w:r>
    </w:p>
    <w:p>
      <w:pPr>
        <w:pStyle w:val="P1"/>
        <w:spacing w:lineRule="exact" w:line="560"/>
        <w:contextualSpacing w:val="1"/>
        <w:rPr>
          <w:rStyle w:val="C3"/>
          <w:rFonts w:ascii="仿宋_GB2312" w:hAnsi="仿宋_GB2312"/>
        </w:rPr>
      </w:pPr>
      <w:r>
        <w:rPr>
          <w:rStyle w:val="C3"/>
          <w:rFonts w:ascii="Microsoft YaHei UI" w:hAnsi="Microsoft YaHei UI"/>
        </w:rPr>
        <w:t>　　文物鉴定委员会鉴定文物应当客观、公正，尊重历史。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市文物行政管理部门应当在区、县级文物保护单位中，选择具有重大历史、艺术、科学价值的确定为市级文物保护单位，或者直接选择不可移动文物确定为市级文物保护单位，报市人民政府核定公布，并报国务院备案。</w:t>
      </w:r>
    </w:p>
    <w:p>
      <w:pPr>
        <w:pStyle w:val="P1"/>
        <w:spacing w:lineRule="exact" w:line="560"/>
        <w:contextualSpacing w:val="1"/>
        <w:rPr>
          <w:rStyle w:val="C3"/>
          <w:rFonts w:ascii="仿宋_GB2312" w:hAnsi="仿宋_GB2312"/>
        </w:rPr>
      </w:pPr>
      <w:r>
        <w:rPr>
          <w:rStyle w:val="C3"/>
          <w:rFonts w:ascii="Microsoft YaHei UI" w:hAnsi="Microsoft YaHei UI"/>
        </w:rPr>
        <w:t>　　区、县文物行政管理部门应当选择所辖行政区域内具有历史、艺术、科学价值的不可移动文物，确定为区、县级文物保护单位，报本级人民政府核定公布，并报市人民政府备案。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文物保护单位核定公布后，应当依法划定保护范围。</w:t>
      </w:r>
    </w:p>
    <w:p>
      <w:pPr>
        <w:pStyle w:val="P1"/>
        <w:spacing w:lineRule="exact" w:line="560"/>
        <w:contextualSpacing w:val="1"/>
        <w:rPr>
          <w:rStyle w:val="C3"/>
          <w:rFonts w:ascii="仿宋_GB2312" w:hAnsi="仿宋_GB2312"/>
        </w:rPr>
      </w:pPr>
      <w:r>
        <w:rPr>
          <w:rStyle w:val="C3"/>
          <w:rFonts w:ascii="Microsoft YaHei UI" w:hAnsi="Microsoft YaHei UI"/>
        </w:rPr>
        <w:t>　　市文物行政管理部门会同市规划行政管理部门和文物所在区、县人民政府，根据文物保护的实际需要，提出文物保护单位的建设控制地带划定方案，经市人民政府批准后公布实施。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在文物保护单位的保护范围内实施下列文物保护工程，应当制定文物保护工程方案，并履行报批手续：</w:t>
      </w:r>
    </w:p>
    <w:p>
      <w:pPr>
        <w:pStyle w:val="P1"/>
        <w:spacing w:lineRule="exact" w:line="560"/>
        <w:contextualSpacing w:val="1"/>
        <w:rPr>
          <w:rStyle w:val="C3"/>
          <w:rFonts w:ascii="仿宋_GB2312" w:hAnsi="仿宋_GB2312"/>
        </w:rPr>
      </w:pPr>
      <w:r>
        <w:rPr>
          <w:rStyle w:val="C3"/>
          <w:rFonts w:ascii="Microsoft YaHei UI" w:hAnsi="Microsoft YaHei UI"/>
        </w:rPr>
        <w:t>　　（一）新建、改建、扩建文物保护设施；</w:t>
      </w:r>
    </w:p>
    <w:p>
      <w:pPr>
        <w:pStyle w:val="P1"/>
        <w:spacing w:lineRule="exact" w:line="560"/>
        <w:contextualSpacing w:val="1"/>
        <w:rPr>
          <w:rStyle w:val="C3"/>
          <w:rFonts w:ascii="仿宋_GB2312" w:hAnsi="仿宋_GB2312"/>
        </w:rPr>
      </w:pPr>
      <w:r>
        <w:rPr>
          <w:rStyle w:val="C3"/>
          <w:rFonts w:ascii="Microsoft YaHei UI" w:hAnsi="Microsoft YaHei UI"/>
        </w:rPr>
        <w:t>　　（二）实施修缮、保养文物工程；</w:t>
      </w:r>
    </w:p>
    <w:p>
      <w:pPr>
        <w:pStyle w:val="P1"/>
        <w:spacing w:lineRule="exact" w:line="560"/>
        <w:contextualSpacing w:val="1"/>
        <w:rPr>
          <w:rStyle w:val="C3"/>
          <w:rFonts w:ascii="仿宋_GB2312" w:hAnsi="仿宋_GB2312"/>
        </w:rPr>
      </w:pPr>
      <w:r>
        <w:rPr>
          <w:rStyle w:val="C3"/>
          <w:rFonts w:ascii="Microsoft YaHei UI" w:hAnsi="Microsoft YaHei UI"/>
        </w:rPr>
        <w:t>　　（三）铺设通讯、供电、供水、供气、排水等管线；</w:t>
      </w:r>
    </w:p>
    <w:p>
      <w:pPr>
        <w:pStyle w:val="P1"/>
        <w:spacing w:lineRule="exact" w:line="560"/>
        <w:contextualSpacing w:val="1"/>
        <w:rPr>
          <w:rStyle w:val="C3"/>
          <w:rFonts w:ascii="仿宋_GB2312" w:hAnsi="仿宋_GB2312"/>
        </w:rPr>
      </w:pPr>
      <w:r>
        <w:rPr>
          <w:rStyle w:val="C3"/>
          <w:rFonts w:ascii="Microsoft YaHei UI" w:hAnsi="Microsoft YaHei UI"/>
        </w:rPr>
        <w:t>　　（四）设置防火、防雷、防盗设施和修建防洪工程；</w:t>
      </w:r>
    </w:p>
    <w:p>
      <w:pPr>
        <w:pStyle w:val="P1"/>
        <w:spacing w:lineRule="exact" w:line="560"/>
        <w:contextualSpacing w:val="1"/>
        <w:rPr>
          <w:rStyle w:val="C3"/>
          <w:rFonts w:ascii="仿宋_GB2312" w:hAnsi="仿宋_GB2312"/>
        </w:rPr>
      </w:pPr>
      <w:r>
        <w:rPr>
          <w:rStyle w:val="C3"/>
          <w:rFonts w:ascii="Microsoft YaHei UI" w:hAnsi="Microsoft YaHei UI"/>
        </w:rPr>
        <w:t>　　（五）其他文物保护的建设工程。</w:t>
      </w:r>
    </w:p>
    <w:p>
      <w:pPr>
        <w:pStyle w:val="P1"/>
        <w:spacing w:lineRule="exact" w:line="560"/>
        <w:contextualSpacing w:val="1"/>
        <w:rPr>
          <w:rStyle w:val="C3"/>
          <w:rFonts w:ascii="仿宋_GB2312" w:hAnsi="仿宋_GB2312"/>
        </w:rPr>
      </w:pPr>
      <w:r>
        <w:rPr>
          <w:rStyle w:val="C3"/>
          <w:rFonts w:ascii="Microsoft YaHei UI" w:hAnsi="Microsoft YaHei UI"/>
        </w:rPr>
        <w:t>　　全国重点文物保护单位的保护工程方案，经市文物行政管理部门审核后，报国务院文物行政管理部门审批；市级文物保护单位的保护工程方案，由市级文物行政管理部门征求国务院文物行政管理部门的意见后予以审批；区、县级文物保护单位的保护工程方案，由区、县文物行政管理部门征求市文物行政管理部门的意见后予以审批。</w:t>
      </w:r>
    </w:p>
    <w:p>
      <w:pPr>
        <w:pStyle w:val="P1"/>
        <w:spacing w:lineRule="exact" w:line="560"/>
        <w:contextualSpacing w:val="1"/>
        <w:rPr>
          <w:rStyle w:val="C3"/>
          <w:rFonts w:ascii="仿宋_GB2312" w:hAnsi="仿宋_GB2312"/>
        </w:rPr>
      </w:pPr>
      <w:r>
        <w:rPr>
          <w:rStyle w:val="C3"/>
          <w:rFonts w:ascii="Microsoft YaHei UI" w:hAnsi="Microsoft YaHei UI"/>
        </w:rPr>
        <w:t>　　保护工程方案变更的，不可移动文物的管理人、使用人应当报原批准的文物行政管理部门重新批准。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在文物保护单位的建设控制地带内进行建设工程，不得破坏文物保护单位的历史风貌，并应当与文物保护单位的建筑风格相协调。工程设计方案应当根据文物保护单位的级别，经相应的文物行政管理部门同意后，报规划行政管理部门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文物保护单位非经法定程序不得撤销。因自然或者意外原因损毁的，应当实行遗址保护。确需原址重建或者撤销的，应当由市文物行政管理部门组织专家论证后，依法按原审批程序报批。</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建设工程选址，应当尽可能避开不可移动文物。因特殊情况不能避开的，对文物保护单位应当尽可能实施原址保护；无法实施原址保护，必须迁移异地保护或者拆除的，建设单位应当报市文物行政管理部门，由市文物行政管理部门提出意见后，报市人民政府批准；迁移或者拆除市级文物保护单位的，批准前须征得国务院文物行政管理部门同意。迁移全国重点文物保护单位的，由市人民政府报国务院批准。</w:t>
      </w:r>
    </w:p>
    <w:p>
      <w:pPr>
        <w:pStyle w:val="P1"/>
        <w:spacing w:lineRule="exact" w:line="560"/>
        <w:contextualSpacing w:val="1"/>
        <w:rPr>
          <w:rStyle w:val="C3"/>
          <w:rFonts w:ascii="仿宋_GB2312" w:hAnsi="仿宋_GB2312"/>
        </w:rPr>
      </w:pPr>
      <w:r>
        <w:rPr>
          <w:rStyle w:val="C3"/>
          <w:rFonts w:ascii="Microsoft YaHei UI" w:hAnsi="Microsoft YaHei UI"/>
        </w:rPr>
        <w:t>　　未核定为文物保护单位的不可移动文物迁移、拆除的，建设单位应当报区、县文物行政管理部门，由区、县人民政府批准。区、县人民政府批准前应当征得市文物行政管理部门同意。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国有不可移动文物管理权、使用权的变更，应当报市文物行政管理部门备案，其中全国重点文物保护单位管理权、使用权的变更，按照国家有关规定执行。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市文物行政管理部门应当根据不同文物的保护需要，制定具体的保护措施，并公告施行。</w:t>
      </w:r>
    </w:p>
    <w:p>
      <w:pPr>
        <w:pStyle w:val="P1"/>
        <w:spacing w:lineRule="exact" w:line="560"/>
        <w:contextualSpacing w:val="1"/>
        <w:rPr>
          <w:rStyle w:val="C3"/>
          <w:rFonts w:ascii="仿宋_GB2312" w:hAnsi="仿宋_GB2312"/>
        </w:rPr>
      </w:pPr>
      <w:r>
        <w:rPr>
          <w:rStyle w:val="C3"/>
          <w:rFonts w:ascii="Microsoft YaHei UI" w:hAnsi="Microsoft YaHei UI"/>
        </w:rPr>
        <w:t>　　市文物行政管理部门应当向本市的全国重点文物保护单位、市级文物保护单位的所有者或者使用者发出通知书，明确保护义务。区、县文物行政管理部门应当向区、县级文物保护单位的所有者或者使用者发出通知书，明确保护义务。</w:t>
      </w:r>
    </w:p>
    <w:p>
      <w:pPr>
        <w:pStyle w:val="P1"/>
        <w:spacing w:lineRule="exact" w:line="560"/>
        <w:contextualSpacing w:val="1"/>
        <w:rPr>
          <w:rStyle w:val="C3"/>
          <w:rFonts w:ascii="仿宋_GB2312" w:hAnsi="仿宋_GB2312"/>
        </w:rPr>
      </w:pPr>
      <w:r>
        <w:rPr>
          <w:rStyle w:val="C3"/>
          <w:rFonts w:ascii="Microsoft YaHei UI" w:hAnsi="Microsoft YaHei UI"/>
        </w:rPr>
        <w:t>　　对尚未核定公布为文物保护单位的不可移动文物，由所在地的区、县文物行政管理部门将其名称、类别、年代、位置、范围等事项予以登记和公布，并设立保护标志，向所有者或者使用者发出保护通知书，明确保护义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不可移动文物的管理人、使用人应当按照规定加强火源、电源的管理，配备必要的灭火设备。在重点要害部位根据实际需要，安装自动报警、灭火、避雷等设施。安装、使用设施不得对文物建筑造成破坏。</w:t>
      </w:r>
    </w:p>
    <w:p>
      <w:pPr>
        <w:pStyle w:val="P1"/>
        <w:spacing w:lineRule="exact" w:line="560"/>
        <w:contextualSpacing w:val="1"/>
        <w:rPr>
          <w:rStyle w:val="C3"/>
          <w:rFonts w:ascii="仿宋_GB2312" w:hAnsi="仿宋_GB2312"/>
        </w:rPr>
      </w:pPr>
      <w:r>
        <w:rPr>
          <w:rStyle w:val="C3"/>
          <w:rFonts w:ascii="Microsoft YaHei UI" w:hAnsi="Microsoft YaHei UI"/>
        </w:rPr>
        <w:t>　　遇有危及文物安全的重大险情，不可移动文物的管理人、使用人应当及时采取措施，并向文物所在地的区、县文物行政管理部门报告。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不可移动文物的使用人、管理人应当保持文物原有的整体性，对其附属物不得随意进行彩绘、添建、改建、迁建、拆毁，不得改变文物的结构和原状。</w:t>
      </w:r>
    </w:p>
    <w:p>
      <w:pPr>
        <w:pStyle w:val="P1"/>
        <w:spacing w:lineRule="exact" w:line="560"/>
        <w:contextualSpacing w:val="1"/>
        <w:rPr>
          <w:rStyle w:val="C3"/>
          <w:rFonts w:ascii="仿宋_GB2312" w:hAnsi="仿宋_GB2312"/>
        </w:rPr>
      </w:pPr>
      <w:r>
        <w:rPr>
          <w:rStyle w:val="C3"/>
          <w:rFonts w:ascii="Microsoft YaHei UI" w:hAnsi="Microsoft YaHei UI"/>
        </w:rPr>
        <w:t>　　修缮、保养、迁移、重建不可移动文物，应当遵守不改变文物原状的原则。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核定为文物保护单位的国有纪念建筑物、古建筑向社会开放的，其管理人、使用人应当保证建筑物的正常开放。市或者区、县文物行政管理部门发现管理人、使用人的行为造成建筑物有碍开放的，可以责令管理人、使用人进行整治。</w:t>
      </w:r>
    </w:p>
    <w:p>
      <w:pPr>
        <w:pStyle w:val="P1"/>
        <w:spacing w:lineRule="exact" w:line="560"/>
        <w:contextualSpacing w:val="1"/>
        <w:rPr>
          <w:rStyle w:val="C3"/>
          <w:rFonts w:ascii="仿宋_GB2312" w:hAnsi="仿宋_GB2312"/>
        </w:rPr>
      </w:pPr>
      <w:r>
        <w:rPr>
          <w:rStyle w:val="C3"/>
          <w:rFonts w:ascii="Microsoft YaHei UI" w:hAnsi="Microsoft YaHei UI"/>
        </w:rPr>
        <w:t>　　核定为文物保护单位的国有纪念建筑物、古建筑作其他用途的，应当经核定公布该文物保护单位的人民政府批准。国有未核定为文物保护单位的不可移动文物作其他用途的，应当报所在地的区、县人民政府批准。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市文物行政管理部门应当会同市城市规划行政管理部门，根据历史资料、考古资料等对本市行政区域内有可能集中埋藏文物的地区，划定地下文物埋藏区，报市人民政府核定并公布。</w:t>
      </w:r>
    </w:p>
    <w:p>
      <w:pPr>
        <w:pStyle w:val="P1"/>
        <w:spacing w:lineRule="exact" w:line="560"/>
        <w:contextualSpacing w:val="1"/>
        <w:rPr>
          <w:rStyle w:val="C3"/>
          <w:rFonts w:ascii="仿宋_GB2312" w:hAnsi="仿宋_GB2312"/>
        </w:rPr>
      </w:pPr>
      <w:r>
        <w:rPr>
          <w:rStyle w:val="C3"/>
          <w:rFonts w:ascii="Microsoft YaHei UI" w:hAnsi="Microsoft YaHei UI"/>
        </w:rPr>
        <w:t>　　在地下文物埋藏区进行建设工程的，建设单位应当在取得建设项目选址意见书三十日内，向市文物行政管理部门申请考古调查、勘探。如需发掘的，市文物行政管理部门应当组织考古发掘单位进行发掘。未经考古调查、勘探或者发掘，不得进行建设工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博物馆、图书馆和其他文物收藏单位的文物藏品的级别，由文物鉴定委员会按照国家规定进行评定。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博物馆、图书馆和其他文物收藏单位应当充分发挥馆藏文物的作用，通过举办展览、科学研究等活动，加强对中华民族优秀的历史文化和革命传统的宣传教育。</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市和区、县文物行政管理部门可以对博物馆、图书馆和其他文物收藏单位收藏的文物进行核查。</w:t>
      </w:r>
    </w:p>
    <w:p>
      <w:pPr>
        <w:pStyle w:val="P1"/>
        <w:spacing w:lineRule="exact" w:line="560"/>
        <w:contextualSpacing w:val="1"/>
        <w:rPr>
          <w:rStyle w:val="C3"/>
          <w:rFonts w:ascii="仿宋_GB2312" w:hAnsi="仿宋_GB2312"/>
        </w:rPr>
      </w:pPr>
      <w:r>
        <w:rPr>
          <w:rStyle w:val="C3"/>
          <w:rFonts w:ascii="Microsoft YaHei UI" w:hAnsi="Microsoft YaHei UI"/>
        </w:rPr>
        <w:t>　　博物馆、图书馆和其他文物收藏单位，应当对馆藏文物定期进行检查。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不具备收藏珍贵文物条件的国有文物收藏单位，其收藏的珍贵文物，市文物行政管理部门可以指定具备收藏条件的其他国有文物收藏单位代为保管。文物收藏单位和代为保管单位的权利和义务由双方协商确定。</w:t>
      </w:r>
    </w:p>
    <w:p>
      <w:pPr>
        <w:pStyle w:val="P1"/>
        <w:spacing w:lineRule="exact" w:line="560"/>
        <w:contextualSpacing w:val="1"/>
        <w:rPr>
          <w:rStyle w:val="C3"/>
          <w:rFonts w:ascii="仿宋_GB2312" w:hAnsi="仿宋_GB2312"/>
        </w:rPr>
      </w:pPr>
      <w:r>
        <w:rPr>
          <w:rStyle w:val="C3"/>
          <w:rFonts w:ascii="Microsoft YaHei UI" w:hAnsi="Microsoft YaHei UI"/>
        </w:rPr>
        <w:t>　　国有文物收藏单位与非国有文物收藏单位之间不得交换文物。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非国有文物收藏单位终止时，以其名义接受捐赠或者购买的珍贵文物，不得转让给文物收藏单位以外的公民、法人或者其他组织。</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复制、拍摄、拓印馆藏文物，必须确保文物安全。</w:t>
      </w:r>
    </w:p>
    <w:p>
      <w:pPr>
        <w:pStyle w:val="P1"/>
        <w:spacing w:lineRule="exact" w:line="560"/>
        <w:contextualSpacing w:val="1"/>
        <w:rPr>
          <w:rStyle w:val="C3"/>
          <w:rFonts w:ascii="仿宋_GB2312" w:hAnsi="仿宋_GB2312"/>
        </w:rPr>
      </w:pPr>
      <w:r>
        <w:rPr>
          <w:rStyle w:val="C3"/>
          <w:rFonts w:ascii="Microsoft YaHei UI" w:hAnsi="Microsoft YaHei UI"/>
        </w:rPr>
        <w:t>　　文物的复制品应当有明确的标识。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本市严格控制利用文物保护单位拍摄电影、电视以及举办展销和其他大型活动。确需利用文物保护单位拍摄电影、电视或者举办大型活动的，拍摄单位或者举办者应当征得文物管理人、使用人同意，并提出拍摄方案、活动计划和保护措施。拍摄电影、电视，利用全国重点文物保护单位的，报国务院文物行政管理部门审批；利用市级或者区、县级文物保护单位的，报市文物行政管理部门审批。举办展销和其他大型活动，利用全国重点文物保护单位或者市级文物保护单位的，报市文物行政管理部门审批；利用区、县级文物保护单位的，报区、县文物行政管理部门审批。更改拍摄方案或者活动计划的，应当报原批准的文物行政管理部门重新批准。</w:t>
      </w:r>
    </w:p>
    <w:p>
      <w:pPr>
        <w:pStyle w:val="P1"/>
        <w:spacing w:lineRule="exact" w:line="560"/>
        <w:contextualSpacing w:val="1"/>
        <w:rPr>
          <w:rStyle w:val="C3"/>
          <w:rFonts w:ascii="仿宋_GB2312" w:hAnsi="仿宋_GB2312"/>
        </w:rPr>
      </w:pPr>
      <w:r>
        <w:rPr>
          <w:rStyle w:val="C3"/>
          <w:rFonts w:ascii="Microsoft YaHei UI" w:hAnsi="Microsoft YaHei UI"/>
        </w:rPr>
        <w:t>　　利用文物保护单位拍摄电影、电视以及举办展销和其他大型活动，文物保护单位所得收益应当用于文物保护。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文物市场的举办者或者管理者应当加强对市场内文物经营行为的管理、监督，设立管理机构，制定管理制度，聘用文物鉴定人员。</w:t>
      </w:r>
    </w:p>
    <w:p>
      <w:pPr>
        <w:pStyle w:val="P1"/>
        <w:spacing w:lineRule="exact" w:line="560"/>
        <w:contextualSpacing w:val="1"/>
        <w:rPr>
          <w:rStyle w:val="C3"/>
          <w:rFonts w:ascii="仿宋_GB2312" w:hAnsi="仿宋_GB2312"/>
        </w:rPr>
      </w:pPr>
      <w:r>
        <w:rPr>
          <w:rStyle w:val="C3"/>
          <w:rFonts w:ascii="Microsoft YaHei UI" w:hAnsi="Microsoft YaHei UI"/>
        </w:rPr>
        <w:t>　　文物市场举办者或者管理者应当在明显处设置公告牌，明确告知运送、邮寄、携带文物出境时，应当依法办理文物出境许可手续。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外省市文物商店或者文物拍卖企业到本市行政区域内销售、拍卖文物的，应当在销售、拍卖前持所在地文物行政管理部门批准其经营、拍卖文物的许可文件，到市文物行政管理部门备案。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违反本条例第十二条规定，文物保护工程方案未经批准或者擅自变更文物保护工程方案，明显改变文物原状尚不构成犯罪的，由市或者区、县文物行政管理部门责令改正，造成严重后果的，处五万元以上五十万元以下的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违反本条例第十四条规定，非经法定程序擅自撤销文物保护单位的，由市或者区、县文物行政管理部门责令改正，并对直接责任人给予行政处分。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　</w:t>
      </w:r>
      <w:r>
        <w:rPr>
          <w:rStyle w:val="C3"/>
          <w:rFonts w:ascii="Microsoft YaHei UI" w:hAnsi="Microsoft YaHei UI"/>
        </w:rPr>
        <w:t>违反本条例规定，有下列行为之一，尚不构成犯罪的，由市或者区、县文物行政管理部门责令改正，可以并处二万元以下罚款：</w:t>
      </w:r>
    </w:p>
    <w:p>
      <w:pPr>
        <w:pStyle w:val="P1"/>
        <w:spacing w:lineRule="exact" w:line="560"/>
        <w:contextualSpacing w:val="1"/>
        <w:rPr>
          <w:rStyle w:val="C3"/>
          <w:rFonts w:ascii="仿宋_GB2312" w:hAnsi="仿宋_GB2312"/>
        </w:rPr>
      </w:pPr>
      <w:r>
        <w:rPr>
          <w:rStyle w:val="C3"/>
          <w:rFonts w:ascii="Microsoft YaHei UI" w:hAnsi="Microsoft YaHei UI"/>
        </w:rPr>
        <w:t>　　（一）违反本条例第十八条第一款规定，安装、使用自动报警、灭火、避雷等设施对文物建筑造成破坏的；</w:t>
      </w:r>
    </w:p>
    <w:p>
      <w:pPr>
        <w:pStyle w:val="P1"/>
        <w:spacing w:lineRule="exact" w:line="560"/>
        <w:contextualSpacing w:val="1"/>
        <w:rPr>
          <w:rStyle w:val="C3"/>
          <w:rFonts w:ascii="仿宋_GB2312" w:hAnsi="仿宋_GB2312"/>
        </w:rPr>
      </w:pPr>
      <w:r>
        <w:rPr>
          <w:rStyle w:val="C3"/>
          <w:rFonts w:ascii="Microsoft YaHei UI" w:hAnsi="Microsoft YaHei UI"/>
        </w:rPr>
        <w:t>　　（二）违反本条例第十八条第二款规定，遇有危及文物安全的重大险情未及时采取措施或者未向文物行政管理部门报告的。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违反本条例第二十一条第二款的规定，未经考古调查、勘探或者发掘，建设单位擅自开工建设的，由市文物行政管理部门责令改正，情节严重的，处五万元以上五十万元以下罚款。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违反本条例第二十五条第二款规定，国有文物收藏单位与非国有文物收藏单位之间交换文物的，由市或者区、县文物行政管理部门责令改正，没收非法交换的文物，并处一万元以上五万元以下罚款。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违反本条例第二十七条第二款规定，文物的复制品没有明确标识的，由市或者区、县文物行政管理部门责令改正，并处一万元以上五万元以下罚款。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违反本条例第二十八条第一款规定，拍摄单位擅自拍摄或者更改拍摄计划，由市文物行政管理部门责令改正，收缴非法录制品，并处一万元以上五万元以下罚款。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违反本条例第二十八条第一款规定，举办者擅自举办活动或者更改活动计划，由原批准的文物行政管理部门责令改正，没收违法所得，并处一万元以上五万元以下罚款。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违反本条例第二十九条规定，文物市场的举办者或者管理者未设立管理机构、未制定管理制度、未聘用文物鉴定人员或者未在明显处设置公告牌的，由市或者区、县文物行政管理部门责令改正；情节严重的，处二千元以上二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市和区、县文物行政管理部门或者其他有关部门不履行文物保护职责的，由市或区、县人民政府责令改正；对直接负责的主管人员和其他直接责任人员，依法给予行政处分。</w:t>
      </w:r>
    </w:p>
    <w:p>
      <w:pPr>
        <w:pStyle w:val="P1"/>
        <w:spacing w:lineRule="exact" w:line="560"/>
        <w:contextualSpacing w:val="1"/>
        <w:rPr>
          <w:rStyle w:val="C3"/>
          <w:rFonts w:ascii="仿宋_GB2312" w:hAnsi="仿宋_GB2312"/>
        </w:rPr>
      </w:pPr>
      <w:r>
        <w:rPr>
          <w:rStyle w:val="C3"/>
          <w:rFonts w:ascii="Microsoft YaHei UI" w:hAnsi="Microsoft YaHei UI"/>
        </w:rPr>
        <w:t>　　文物行政管理部门或者其他有关部门的工作人员玩忽职守、滥用职权、徇私舞弊的，由其所在单位或者上级主管机关给予处分；构成犯罪的，依法追究刑事责任。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核定为文物保护单位的历史风貌建筑，其保护和修缮工作，应当遵守国家文物保护法律、法规和本市有关法规规定。</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19"/>
    <w:pPr/>
    <w:rPr>
      <w:sz w:val="18"/>
    </w:rPr>
  </w:style>
  <w:style w:type="paragraph" w:styleId="P3">
    <w:name w:val="HTML 预设格式"/>
    <w:basedOn w:val="P1"/>
    <w:next w:val="P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日期"/>
    <w:basedOn w:val="P1"/>
    <w:next w:val="P1"/>
    <w:pPr>
      <w:ind w:left="100"/>
    </w:pPr>
    <w:rPr>
      <w:rFonts w:ascii="仿宋_GB2312" w:hAnsi="仿宋_GB2312"/>
    </w:rPr>
  </w:style>
  <w:style w:type="paragraph" w:styleId="P5">
    <w:name w:val="正文文本 2"/>
    <w:basedOn w:val="P1"/>
    <w:next w:val="P5"/>
    <w:link w:val="C28"/>
    <w:pPr>
      <w:spacing w:lineRule="auto" w:line="480" w:after="120"/>
    </w:pPr>
    <w:rPr/>
  </w:style>
  <w:style w:type="paragraph" w:styleId="P6">
    <w:name w:val="正文文本"/>
    <w:basedOn w:val="P1"/>
    <w:next w:val="P6"/>
    <w:link w:val="C23"/>
    <w:pPr/>
    <w:rPr/>
  </w:style>
  <w:style w:type="paragraph" w:styleId="P7">
    <w:name w:val="纯文本"/>
    <w:basedOn w:val="P1"/>
    <w:next w:val="P7"/>
    <w:link w:val="C6"/>
    <w:pPr/>
    <w:rPr>
      <w:rFonts w:ascii="华文宋体" w:hAnsi="华文宋体"/>
    </w:rPr>
  </w:style>
  <w:style w:type="paragraph" w:styleId="P8">
    <w:name w:val="正文文本缩进"/>
    <w:basedOn w:val="P1"/>
    <w:next w:val="P8"/>
    <w:link w:val="C18"/>
    <w:pPr>
      <w:spacing w:after="120"/>
      <w:ind w:left="420"/>
    </w:pPr>
    <w:rPr/>
  </w:style>
  <w:style w:type="paragraph" w:styleId="P9">
    <w:name w:val="正文文本缩进 3"/>
    <w:basedOn w:val="P1"/>
    <w:next w:val="P9"/>
    <w:link w:val="C25"/>
    <w:pPr>
      <w:spacing w:after="120"/>
      <w:ind w:left="420"/>
    </w:pPr>
    <w:rPr>
      <w:sz w:val="16"/>
    </w:rPr>
  </w:style>
  <w:style w:type="paragraph" w:styleId="P10">
    <w:name w:val="页眉"/>
    <w:basedOn w:val="P1"/>
    <w:next w:val="P10"/>
    <w:link w:val="C4"/>
    <w:pPr>
      <w:pBdr>
        <w:bottom w:val="single" w:sz="6" w:space="0" w:shadow="0" w:frame="0"/>
      </w:pBdr>
      <w:tabs>
        <w:tab w:val="center" w:pos="4153" w:leader="none"/>
        <w:tab w:val="right" w:pos="8306" w:leader="none"/>
      </w:tabs>
      <w:jc w:val="center"/>
    </w:pPr>
    <w:rPr>
      <w:sz w:val="18"/>
    </w:rPr>
  </w:style>
  <w:style w:type="paragraph" w:styleId="P11">
    <w:name w:val="zhangcxsplast"/>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link w:val="C34"/>
    <w:pPr>
      <w:widowControl w:val="1"/>
      <w:tabs>
        <w:tab w:val="center" w:pos="4153" w:leader="none"/>
        <w:tab w:val="right" w:pos="8306" w:leader="none"/>
      </w:tabs>
      <w:jc w:val="left"/>
    </w:pPr>
    <w:rPr>
      <w:rFonts w:ascii="宋体" w:hAnsi="宋体"/>
      <w:sz w:val="18"/>
    </w:rPr>
  </w:style>
  <w:style w:type="paragraph" w:styleId="P13">
    <w:name w:val="正文文本缩进 2"/>
    <w:basedOn w:val="P1"/>
    <w:next w:val="P13"/>
    <w:link w:val="C5"/>
    <w:pPr>
      <w:spacing w:lineRule="auto" w:line="480" w:after="120"/>
      <w:ind w:left="420"/>
    </w:pPr>
    <w:rPr/>
  </w:style>
  <w:style w:type="paragraph" w:styleId="P14">
    <w:name w:val="_Style 10"/>
    <w:basedOn w:val="P1"/>
    <w:next w:val="P17"/>
    <w:pPr>
      <w:widowControl w:val="1"/>
      <w:spacing w:before="100" w:after="100" w:beforeAutospacing="1" w:afterAutospacing="1"/>
      <w:jc w:val="left"/>
    </w:pPr>
    <w:rPr>
      <w:rFonts w:ascii="Arial Unicode MS" w:hAnsi="Arial Unicode MS"/>
      <w:sz w:val="24"/>
    </w:rPr>
  </w:style>
  <w:style w:type="paragraph" w:styleId="P15">
    <w:name w:val="msonormalcxspmiddlecxspmiddlecxspmiddlecxspmiddlecxspmiddle"/>
    <w:basedOn w:val="P1"/>
    <w:next w:val="P15"/>
    <w:pPr>
      <w:widowControl w:val="1"/>
      <w:spacing w:before="100" w:after="100" w:beforeAutospacing="1" w:afterAutospacing="1"/>
      <w:jc w:val="left"/>
    </w:pPr>
    <w:rPr>
      <w:rFonts w:ascii="宋体" w:hAnsi="宋体"/>
      <w:sz w:val="24"/>
    </w:rPr>
  </w:style>
  <w:style w:type="paragraph" w:styleId="P16">
    <w:name w:val="文档结构图"/>
    <w:basedOn w:val="P1"/>
    <w:next w:val="P16"/>
    <w:pPr>
      <w:shd w:val="clear" w:fill="000080"/>
    </w:pPr>
    <w:rPr/>
  </w:style>
  <w:style w:type="paragraph" w:styleId="P17">
    <w:name w:val="普通(网站)"/>
    <w:basedOn w:val="P1"/>
    <w:next w:val="P17"/>
    <w:link w:val="C20"/>
    <w:pPr>
      <w:widowControl w:val="1"/>
      <w:spacing w:before="100" w:after="100" w:beforeAutospacing="1" w:afterAutospacing="1"/>
      <w:jc w:val="left"/>
    </w:pPr>
    <w:rPr>
      <w:rFonts w:ascii="宋体" w:hAnsi="宋体"/>
      <w:sz w:val="24"/>
    </w:rPr>
  </w:style>
  <w:style w:type="paragraph" w:styleId="P18">
    <w:name w:val="Char"/>
    <w:basedOn w:val="P1"/>
    <w:next w:val="P18"/>
    <w:pPr/>
    <w:rPr>
      <w:rFonts w:ascii="Tahoma" w:hAnsi="Tahoma"/>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7"/>
    <w:pPr/>
    <w:rPr>
      <w:rFonts w:ascii="仿宋_GB2312" w:hAnsi="仿宋_GB2312"/>
      <w:b w:val="1"/>
      <w:color w:val="000000"/>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msonormalcxspmiddlecxsplastcxsplast"/>
    <w:basedOn w:val="P1"/>
    <w:next w:val="P27"/>
    <w:pPr>
      <w:widowControl w:val="1"/>
      <w:spacing w:before="100" w:after="100" w:beforeAutospacing="1" w:afterAutospacing="1"/>
      <w:jc w:val="left"/>
    </w:pPr>
    <w:rPr>
      <w:rFonts w:ascii="宋体" w:hAnsi="宋体"/>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p0"/>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juzhong"/>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cxspmiddlecxsplast"/>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7"/>
    <w:next w:val="P41"/>
    <w:link w:val="C41"/>
    <w:qFormat/>
    <w:pPr>
      <w:ind w:firstLine="632"/>
    </w:pPr>
    <w:rPr>
      <w:rFonts w:ascii="楷体_GB2312" w:hAnsi="楷体_GB2312"/>
    </w:rPr>
  </w:style>
  <w:style w:type="paragraph" w:styleId="P42">
    <w:name w:val="标题3"/>
    <w:basedOn w:val="P7"/>
    <w:next w:val="P42"/>
    <w:link w:val="C42"/>
    <w:qFormat/>
    <w:pPr>
      <w:ind w:firstLine="632"/>
      <w:jc w:val="center"/>
    </w:pPr>
    <w:rPr>
      <w:rFonts w:ascii="黑体" w:hAnsi="黑体"/>
    </w:rPr>
  </w:style>
  <w:style w:type="paragraph" w:styleId="P43">
    <w:name w:val="标题1"/>
    <w:basedOn w:val="P17"/>
    <w:next w:val="P43"/>
    <w:link w:val="C48"/>
    <w:qFormat/>
    <w:pPr>
      <w:spacing w:lineRule="exact" w:line="600"/>
      <w:jc w:val="center"/>
    </w:pPr>
    <w:rPr>
      <w:rFonts w:ascii="方正小标宋简体" w:hAnsi="方正小标宋简体"/>
      <w:color w:val="000000"/>
      <w:sz w:val="32"/>
    </w:rPr>
  </w:style>
  <w:style w:type="paragraph" w:styleId="P44">
    <w:name w:val="标题2"/>
    <w:basedOn w:val="P17"/>
    <w:next w:val="P44"/>
    <w:link w:val="C46"/>
    <w:pPr>
      <w:widowControl w:val="0"/>
      <w:jc w:val="center"/>
    </w:pPr>
    <w:rPr>
      <w:rFonts w:ascii="楷体_GB2312" w:hAnsi="楷体_GB2312"/>
      <w:color w:val="000000"/>
      <w:sz w:val="32"/>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10"/>
    <w:rPr>
      <w:sz w:val="18"/>
    </w:rPr>
  </w:style>
  <w:style w:type="character" w:styleId="C5">
    <w:name w:val="正文文本缩进 2 Char"/>
    <w:basedOn w:val="C3"/>
    <w:link w:val="P13"/>
    <w:rPr/>
  </w:style>
  <w:style w:type="character" w:styleId="C6">
    <w:name w:val="纯文本 Char"/>
    <w:basedOn w:val="C3"/>
    <w:link w:val="P7"/>
    <w:rPr>
      <w:rFonts w:ascii="华文宋体" w:hAnsi="华文宋体"/>
    </w:rPr>
  </w:style>
  <w:style w:type="character" w:styleId="C7">
    <w:name w:val="页码"/>
    <w:basedOn w:val="C3"/>
    <w:rPr/>
  </w:style>
  <w:style w:type="character" w:styleId="C8">
    <w:name w:val="超链接"/>
    <w:basedOn w:val="C3"/>
    <w:rPr>
      <w:color w:val="0000FF"/>
      <w:u w:val="single"/>
    </w:rPr>
  </w:style>
  <w:style w:type="character" w:styleId="C9">
    <w:name w:val="HTML 预设格式 Char"/>
    <w:basedOn w:val="C3"/>
    <w:rPr>
      <w:rFonts w:ascii="宋体" w:hAnsi="宋体"/>
      <w:sz w:val="24"/>
    </w:rPr>
  </w:style>
  <w:style w:type="character" w:styleId="C10">
    <w:name w:val="要点"/>
    <w:basedOn w:val="C3"/>
    <w:qFormat/>
    <w:rPr>
      <w:b w:val="1"/>
    </w:rPr>
  </w:style>
  <w:style w:type="character" w:styleId="C11">
    <w:name w:val="强调"/>
    <w:basedOn w:val="C3"/>
    <w:qFormat/>
    <w:rPr>
      <w:color w:val="CC0000"/>
    </w:rPr>
  </w:style>
  <w:style w:type="character" w:styleId="C12">
    <w:name w:val="正文文本 Char1"/>
    <w:basedOn w:val="C3"/>
    <w:rPr>
      <w:rFonts w:ascii="Times New Roman" w:hAnsi="Times New Roman"/>
      <w:sz w:val="32"/>
    </w:rPr>
  </w:style>
  <w:style w:type="character" w:styleId="C13">
    <w:name w:val="纯文本 Char Char"/>
    <w:basedOn w:val="C3"/>
    <w:rPr>
      <w:rFonts w:ascii="宋体" w:hAnsi="宋体"/>
      <w:sz w:val="32"/>
    </w:rPr>
  </w:style>
  <w:style w:type="character" w:styleId="C14">
    <w:name w:val="纯文本 Char1"/>
    <w:basedOn w:val="C3"/>
    <w:rPr>
      <w:rFonts w:ascii="宋体" w:hAnsi="宋体"/>
      <w:sz w:val="21"/>
    </w:rPr>
  </w:style>
  <w:style w:type="character" w:styleId="C15">
    <w:name w:val="Char Char4"/>
    <w:basedOn w:val="C3"/>
    <w:rPr>
      <w:rFonts w:ascii="文星仿宋" w:hAnsi="文星仿宋"/>
      <w:sz w:val="32"/>
    </w:rPr>
  </w:style>
  <w:style w:type="character" w:styleId="C16">
    <w:name w:val="日期 Char Char"/>
    <w:basedOn w:val="C3"/>
    <w:rPr>
      <w:rFonts w:ascii="仿宋_GB2312" w:hAnsi="仿宋_GB2312"/>
      <w:sz w:val="32"/>
    </w:rPr>
  </w:style>
  <w:style w:type="character" w:styleId="C17">
    <w:name w:val="样式2 Char Char"/>
    <w:basedOn w:val="C3"/>
    <w:link w:val="P23"/>
    <w:rPr>
      <w:rFonts w:ascii="仿宋_GB2312" w:hAnsi="仿宋_GB2312"/>
      <w:b w:val="1"/>
      <w:color w:val="000000"/>
    </w:rPr>
  </w:style>
  <w:style w:type="character" w:styleId="C18">
    <w:name w:val="正文文本缩进 Char"/>
    <w:basedOn w:val="C3"/>
    <w:link w:val="P8"/>
    <w:rPr/>
  </w:style>
  <w:style w:type="character" w:styleId="C19">
    <w:name w:val="批注框文本 Char"/>
    <w:basedOn w:val="C3"/>
    <w:link w:val="P2"/>
    <w:rPr>
      <w:sz w:val="18"/>
    </w:rPr>
  </w:style>
  <w:style w:type="character" w:styleId="C20">
    <w:name w:val="普通(网站) Char"/>
    <w:basedOn w:val="C3"/>
    <w:link w:val="P17"/>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 Char"/>
    <w:basedOn w:val="C3"/>
    <w:link w:val="P6"/>
    <w:rPr/>
  </w:style>
  <w:style w:type="character" w:styleId="C24">
    <w:name w:val="test1"/>
    <w:basedOn w:val="C3"/>
    <w:rPr>
      <w:sz w:val="25"/>
    </w:rPr>
  </w:style>
  <w:style w:type="character" w:styleId="C25">
    <w:name w:val="正文文本缩进 3 Char"/>
    <w:basedOn w:val="C3"/>
    <w:link w:val="P9"/>
    <w:rPr>
      <w:sz w:val="16"/>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5"/>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12"/>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日期 Char"/>
    <w:basedOn w:val="C3"/>
    <w:rPr>
      <w:rFonts w:ascii="仿宋_GB2312" w:hAnsi="仿宋_GB2312"/>
      <w:sz w:val="32"/>
    </w:rPr>
  </w:style>
  <w:style w:type="character" w:styleId="C41">
    <w:name w:val="样式1 Char Char"/>
    <w:basedOn w:val="C6"/>
    <w:link w:val="P41"/>
    <w:rPr>
      <w:rFonts w:ascii="楷体_GB2312" w:hAnsi="楷体_GB2312"/>
    </w:rPr>
  </w:style>
  <w:style w:type="character" w:styleId="C42">
    <w:name w:val="标题3 Char Char"/>
    <w:basedOn w:val="C6"/>
    <w:link w:val="P42"/>
    <w:rPr>
      <w:rFonts w:ascii="黑体" w:hAnsi="黑体"/>
    </w:rPr>
  </w:style>
  <w:style w:type="character" w:styleId="C43">
    <w:name w:val="样式1 Char"/>
    <w:basedOn w:val="C14"/>
    <w:rPr>
      <w:rFonts w:ascii="楷体_GB2312" w:hAnsi="楷体_GB2312"/>
      <w:sz w:val="32"/>
    </w:rPr>
  </w:style>
  <w:style w:type="character" w:styleId="C44">
    <w:name w:val="标题3 Char"/>
    <w:basedOn w:val="C14"/>
    <w:rPr>
      <w:rFonts w:ascii="黑体" w:hAnsi="黑体"/>
      <w:sz w:val="32"/>
    </w:rPr>
  </w:style>
  <w:style w:type="character" w:styleId="C45">
    <w:name w:val="样式3 Char Char"/>
    <w:basedOn w:val="C17"/>
    <w:link w:val="P45"/>
    <w:rPr/>
  </w:style>
  <w:style w:type="character" w:styleId="C46">
    <w:name w:val="标题2 Char Char"/>
    <w:basedOn w:val="C20"/>
    <w:link w:val="P44"/>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1 Char Char"/>
    <w:basedOn w:val="C20"/>
    <w:link w:val="P43"/>
    <w:rPr>
      <w:rFonts w:ascii="方正小标宋简体" w:hAnsi="方正小标宋简体"/>
      <w:color w:val="000000"/>
      <w:sz w:val="32"/>
    </w:rPr>
  </w:style>
  <w:style w:type="character" w:styleId="C49">
    <w:name w:val="标题2 Char"/>
    <w:basedOn w:val="C20"/>
    <w:rPr>
      <w:rFonts w:ascii="楷体_GB2312" w:hAnsi="楷体_GB2312"/>
      <w:color w:val="000000"/>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