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57B72F" Type="http://schemas.openxmlformats.org/officeDocument/2006/relationships/officeDocument" Target="/word/document.xml" /><Relationship Id="coreR5257B72F" Type="http://schemas.openxmlformats.org/package/2006/relationships/metadata/core-properties" Target="/docProps/core.xml" /><Relationship Id="customR5257B7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outlineLvl w:val="1"/>
      </w:pPr>
    </w:p>
    <w:p>
      <w:pPr>
        <w:pStyle w:val="P1"/>
        <w:widowControl w:val="1"/>
        <w:spacing w:lineRule="exact" w:line="560"/>
        <w:jc w:val="center"/>
        <w:outlineLvl w:val="1"/>
        <w:rPr>
          <w:rStyle w:val="C3"/>
          <w:rFonts w:ascii="宋体" w:hAnsi="宋体"/>
          <w:b w:val="1"/>
          <w:sz w:val="32"/>
        </w:rPr>
      </w:pPr>
    </w:p>
    <w:p>
      <w:pPr>
        <w:pStyle w:val="P1"/>
        <w:widowControl w:val="1"/>
        <w:spacing w:lineRule="exact" w:line="560"/>
        <w:jc w:val="center"/>
        <w:outlineLvl w:val="1"/>
        <w:rPr>
          <w:rStyle w:val="C3"/>
          <w:rFonts w:ascii="宋体" w:hAnsi="宋体"/>
          <w:sz w:val="44"/>
        </w:rPr>
      </w:pPr>
      <w:r>
        <w:rPr>
          <w:rStyle w:val="C3"/>
          <w:rFonts w:ascii="宋体" w:hAnsi="宋体"/>
          <w:sz w:val="44"/>
        </w:rPr>
        <w:t>乌鲁木齐经济技术开发区管理条例</w:t>
      </w:r>
    </w:p>
    <w:p>
      <w:pPr>
        <w:pStyle w:val="P1"/>
        <w:widowControl w:val="1"/>
        <w:spacing w:lineRule="exact" w:line="560"/>
        <w:jc w:val="center"/>
        <w:outlineLvl w:val="1"/>
        <w:rPr>
          <w:rStyle w:val="C3"/>
          <w:rFonts w:ascii="宋体" w:hAnsi="宋体"/>
          <w:b w:val="1"/>
          <w:sz w:val="32"/>
        </w:rPr>
      </w:pPr>
    </w:p>
    <w:p>
      <w:pPr>
        <w:pStyle w:val="P1"/>
        <w:widowControl w:val="1"/>
        <w:tabs>
          <w:tab w:val="left" w:pos="720" w:leader="none"/>
          <w:tab w:val="left" w:pos="8280" w:leader="none"/>
        </w:tabs>
        <w:spacing w:lineRule="exact" w:line="560"/>
        <w:ind w:left="708" w:right="622"/>
        <w:jc w:val="center"/>
        <w:rPr>
          <w:rStyle w:val="C3"/>
          <w:rFonts w:ascii="楷体_GB2312" w:hAnsi="楷体_GB2312"/>
          <w:sz w:val="32"/>
        </w:rPr>
      </w:pPr>
      <w:r>
        <w:rPr>
          <w:rStyle w:val="C3"/>
          <w:rFonts w:ascii="方正姚体" w:hAnsi="方正姚体"/>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日乌鲁木齐市第十二届人民代表大会常务委员会第二十五次会议通过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日乌鲁木齐市十三届人民代表大会常务委员会第十三次会议修订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日乌鲁木齐市十六届人民代表大会常务委员会第二十九次会议修订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w:t>
      </w:r>
    </w:p>
    <w:p>
      <w:pPr>
        <w:pStyle w:val="P1"/>
        <w:widowControl w:val="1"/>
        <w:tabs>
          <w:tab w:val="left" w:pos="720" w:leader="none"/>
          <w:tab w:val="left" w:pos="8280" w:leader="none"/>
        </w:tabs>
        <w:spacing w:lineRule="exact" w:line="560"/>
        <w:ind w:left="708" w:right="622"/>
        <w:jc w:val="center"/>
        <w:rPr>
          <w:rStyle w:val="C3"/>
          <w:sz w:val="32"/>
        </w:rPr>
      </w:pPr>
      <w:r>
        <w:rPr>
          <w:rStyle w:val="C3"/>
          <w:rFonts w:ascii="Microsoft YaHei UI" w:hAnsi="Microsoft YaHei UI"/>
          <w:sz w:val="32"/>
        </w:rPr>
        <w:t>常务委员会第十九次会议批准</w:t>
      </w:r>
      <w:r>
        <w:rPr>
          <w:rStyle w:val="C3"/>
          <w:rFonts w:ascii="方正姚体" w:hAnsi="方正姚体"/>
          <w:sz w:val="32"/>
        </w:rPr>
        <w:t>）</w:t>
      </w:r>
    </w:p>
    <w:p>
      <w:pPr>
        <w:pStyle w:val="P3"/>
        <w:shd w:val="clear" w:fill="FFFFFF"/>
        <w:spacing w:lineRule="exact" w:line="560" w:before="0" w:after="0" w:beforeAutospacing="0" w:afterAutospacing="0"/>
        <w:jc w:val="center"/>
        <w:rPr>
          <w:rStyle w:val="C4"/>
          <w:color w:val="404040"/>
        </w:rPr>
      </w:pPr>
    </w:p>
    <w:p>
      <w:pPr>
        <w:pStyle w:val="P3"/>
        <w:shd w:val="clear" w:fill="FFFFFF"/>
        <w:tabs>
          <w:tab w:val="left" w:pos="360" w:leader="none"/>
        </w:tabs>
        <w:spacing w:lineRule="exact" w:line="560" w:before="0" w:after="0" w:beforeAutospacing="0" w:afterAutospacing="0"/>
        <w:jc w:val="center"/>
        <w:rPr>
          <w:rStyle w:val="C4"/>
          <w:b w:val="0"/>
        </w:rPr>
      </w:pPr>
      <w:bookmarkStart w:id="0" w:name="2_1"/>
      <w:bookmarkEnd w:id="0"/>
      <w:bookmarkStart w:id="1" w:name="sub5297635_2_1"/>
      <w:bookmarkEnd w:id="1"/>
      <w:r>
        <w:rPr>
          <w:rStyle w:val="C4"/>
          <w:b w:val="1"/>
        </w:rPr>
        <w:t>目</w:t>
      </w:r>
      <w:r>
        <w:rPr>
          <w:rStyle w:val="C4"/>
          <w:b w:val="1"/>
        </w:rPr>
        <w:t xml:space="preserve">    </w:t>
      </w:r>
      <w:r>
        <w:rPr>
          <w:rStyle w:val="C4"/>
          <w:b w:val="1"/>
        </w:rPr>
        <w:t>录</w:t>
      </w:r>
    </w:p>
    <w:p>
      <w:pPr>
        <w:pStyle w:val="P3"/>
        <w:shd w:val="clear" w:fill="FFFFFF"/>
        <w:tabs>
          <w:tab w:val="left" w:pos="540" w:leader="none"/>
        </w:tabs>
        <w:spacing w:lineRule="exact" w:line="560" w:before="0" w:after="0" w:beforeAutospacing="0" w:afterAutospacing="0"/>
        <w:ind w:firstLine="640"/>
        <w:rPr>
          <w:rStyle w:val="C4"/>
          <w:b w:val="0"/>
        </w:rPr>
      </w:pPr>
      <w:r>
        <w:rPr>
          <w:rStyle w:val="C4"/>
          <w:b w:val="1"/>
        </w:rPr>
        <w:t>第一章</w:t>
      </w:r>
      <w:r>
        <w:rPr>
          <w:rStyle w:val="C4"/>
          <w:b w:val="1"/>
        </w:rPr>
        <w:t xml:space="preserve">  </w:t>
      </w:r>
      <w:r>
        <w:rPr>
          <w:rStyle w:val="C4"/>
          <w:b w:val="1"/>
        </w:rPr>
        <w:t>总</w:t>
      </w:r>
      <w:r>
        <w:rPr>
          <w:rStyle w:val="C4"/>
          <w:b w:val="1"/>
        </w:rPr>
        <w:t xml:space="preserve">  </w:t>
      </w:r>
      <w:r>
        <w:rPr>
          <w:rStyle w:val="C4"/>
          <w:b w:val="1"/>
        </w:rPr>
        <w:t>则</w:t>
      </w:r>
    </w:p>
    <w:p>
      <w:pPr>
        <w:pStyle w:val="P3"/>
        <w:shd w:val="clear" w:fill="FFFFFF"/>
        <w:spacing w:lineRule="exact" w:line="560" w:before="0" w:after="0" w:beforeAutospacing="0" w:afterAutospacing="0"/>
        <w:ind w:firstLine="640"/>
        <w:rPr>
          <w:rStyle w:val="C4"/>
          <w:b w:val="0"/>
        </w:rPr>
      </w:pPr>
      <w:r>
        <w:rPr>
          <w:rStyle w:val="C4"/>
          <w:b w:val="1"/>
        </w:rPr>
        <w:t>第二章</w:t>
      </w:r>
      <w:r>
        <w:rPr>
          <w:rStyle w:val="C4"/>
          <w:b w:val="1"/>
        </w:rPr>
        <w:t xml:space="preserve">  管理职责</w:t>
      </w:r>
    </w:p>
    <w:p>
      <w:pPr>
        <w:pStyle w:val="P3"/>
        <w:shd w:val="clear" w:fill="FFFFFF"/>
        <w:spacing w:lineRule="exact" w:line="560" w:before="0" w:after="0" w:beforeAutospacing="0" w:afterAutospacing="0"/>
        <w:ind w:firstLine="640"/>
        <w:rPr>
          <w:rStyle w:val="C4"/>
          <w:b w:val="0"/>
        </w:rPr>
      </w:pPr>
      <w:r>
        <w:rPr>
          <w:rStyle w:val="C4"/>
          <w:b w:val="1"/>
        </w:rPr>
        <w:t>第三章</w:t>
      </w:r>
      <w:r>
        <w:rPr>
          <w:rStyle w:val="C4"/>
          <w:b w:val="1"/>
        </w:rPr>
        <w:t xml:space="preserve">  投资促进</w:t>
      </w:r>
    </w:p>
    <w:p>
      <w:pPr>
        <w:pStyle w:val="P3"/>
        <w:shd w:val="clear" w:fill="FFFFFF"/>
        <w:spacing w:lineRule="exact" w:line="560" w:before="0" w:after="0" w:beforeAutospacing="0" w:afterAutospacing="0"/>
        <w:ind w:firstLine="640"/>
        <w:rPr>
          <w:rStyle w:val="C4"/>
          <w:b w:val="0"/>
        </w:rPr>
      </w:pPr>
      <w:r>
        <w:rPr>
          <w:rStyle w:val="C4"/>
          <w:b w:val="1"/>
        </w:rPr>
        <w:t>第四章</w:t>
      </w:r>
      <w:r>
        <w:rPr>
          <w:rStyle w:val="C4"/>
          <w:b w:val="1"/>
        </w:rPr>
        <w:t xml:space="preserve">  保障措施</w:t>
      </w:r>
    </w:p>
    <w:p>
      <w:pPr>
        <w:pStyle w:val="P3"/>
        <w:shd w:val="clear" w:fill="FFFFFF"/>
        <w:spacing w:lineRule="exact" w:line="560" w:before="0" w:after="0" w:beforeAutospacing="0" w:afterAutospacing="0"/>
        <w:ind w:firstLine="640"/>
        <w:rPr>
          <w:rStyle w:val="C4"/>
          <w:b w:val="0"/>
        </w:rPr>
      </w:pPr>
      <w:r>
        <w:rPr>
          <w:rStyle w:val="C4"/>
          <w:b w:val="1"/>
        </w:rPr>
        <w:t>第五章</w:t>
      </w:r>
      <w:r>
        <w:rPr>
          <w:rStyle w:val="C4"/>
          <w:b w:val="1"/>
        </w:rPr>
        <w:t xml:space="preserve">  </w:t>
      </w:r>
      <w:r>
        <w:rPr>
          <w:rStyle w:val="C4"/>
          <w:b w:val="1"/>
        </w:rPr>
        <w:t>附</w:t>
      </w:r>
      <w:r>
        <w:rPr>
          <w:rStyle w:val="C4"/>
          <w:b w:val="1"/>
        </w:rPr>
        <w:t xml:space="preserve">  </w:t>
      </w:r>
      <w:r>
        <w:rPr>
          <w:rStyle w:val="C4"/>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sz w:val="32"/>
        </w:rPr>
        <w:t xml:space="preserve"> </w:t>
      </w: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bookmarkStart w:id="2" w:name="sub5297635_2_2"/>
      <w:bookmarkEnd w:id="2"/>
      <w:bookmarkStart w:id="3" w:name="2_2"/>
      <w:bookmarkEnd w:id="3"/>
      <w:r>
        <w:rPr>
          <w:rStyle w:val="C3"/>
          <w:rFonts w:ascii="方正姚体" w:hAnsi="方正姚体"/>
          <w:sz w:val="32"/>
        </w:rPr>
        <w:t>第一条</w:t>
      </w:r>
      <w:r>
        <w:rPr>
          <w:rStyle w:val="C3"/>
          <w:sz w:val="32"/>
        </w:rPr>
        <w:t xml:space="preserve">  </w:t>
      </w:r>
      <w:r>
        <w:rPr>
          <w:rStyle w:val="C3"/>
          <w:rFonts w:ascii="方正姚体" w:hAnsi="方正姚体"/>
          <w:sz w:val="32"/>
        </w:rPr>
        <w:t>为加强乌鲁木齐经济技术开发区的建设和管理，扩大对外开放，促进经济社会发展，根据有关法律、法规，结合本市实际，制定本条例。</w:t>
      </w:r>
    </w:p>
    <w:p>
      <w:pPr>
        <w:pStyle w:val="P1"/>
        <w:tabs>
          <w:tab w:val="left" w:pos="5880" w:leader="none"/>
        </w:tabs>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经国务院批准设立的乌鲁木齐经济技术开发区（以下简称经开区）的建设、开发、管理适用于本条例。</w:t>
      </w:r>
    </w:p>
    <w:p>
      <w:pPr>
        <w:pStyle w:val="P1"/>
        <w:tabs>
          <w:tab w:val="left" w:pos="5880" w:leader="none"/>
        </w:tabs>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市人民政府设立经开区管理委员会（以下简称管委会），代表市人民政府行使市一级管理权限，对经开区实行统一领导和管理。</w:t>
      </w:r>
    </w:p>
    <w:p>
      <w:pPr>
        <w:pStyle w:val="P1"/>
        <w:tabs>
          <w:tab w:val="left" w:pos="5880" w:leader="none"/>
        </w:tabs>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经开区应当推进开放创新、科技创新、制度创新，提升对外开放合作水平，提升经济发展质量，建成以高新技术产业为支撑，以战略性新兴产业为引领，先进制造业和现代服务业协调发展的综合性、多功能、开放型、国际化、现代化的新区。</w:t>
      </w:r>
    </w:p>
    <w:p>
      <w:pPr>
        <w:pStyle w:val="P1"/>
        <w:tabs>
          <w:tab w:val="left" w:pos="5880" w:leader="none"/>
        </w:tabs>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经开区应当加强乌鲁木齐国际陆港区、综合保税区等对外开放区域的建设发展，支持国际贸易、现代物流、外向型加工等产业发展，在促进投资自由化、贸易便利化、金融领域开放等重点领域加大改革创新力度，推动开放型经济发展，建设全面开放的国家物流枢纽、国际供应链组织中心、现代产业集聚示范区。</w:t>
      </w:r>
    </w:p>
    <w:p>
      <w:pPr>
        <w:pStyle w:val="P1"/>
        <w:tabs>
          <w:tab w:val="left" w:pos="5880" w:leader="none"/>
        </w:tabs>
        <w:spacing w:lineRule="exact" w:line="56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经开区应当坚持市场化、法治化原则，以市场需求为导向，以转变政府职能为核心，创新体制机制、完善法治保障，为各类市场主体投资兴业营造稳定、公平、透明、可预期的营商环境。</w:t>
      </w:r>
    </w:p>
    <w:p>
      <w:pPr>
        <w:pStyle w:val="P1"/>
        <w:tabs>
          <w:tab w:val="left" w:pos="5880" w:leader="none"/>
        </w:tabs>
        <w:spacing w:lineRule="exact" w:line="56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鼓励经开区先行先试，探索制度创新，建立容错免责机制。</w:t>
      </w:r>
      <w:r>
        <w:rPr>
          <w:rStyle w:val="C3"/>
          <w:sz w:val="32"/>
        </w:rPr>
        <w:t xml:space="preserve"> </w:t>
      </w:r>
    </w:p>
    <w:p>
      <w:pPr>
        <w:pStyle w:val="P1"/>
        <w:tabs>
          <w:tab w:val="left" w:pos="5225" w:leader="none"/>
        </w:tabs>
        <w:spacing w:lineRule="exact" w:line="56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管理职责</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经开区管委会履行下列职责：</w:t>
      </w:r>
    </w:p>
    <w:p>
      <w:pPr>
        <w:pStyle w:val="P1"/>
        <w:tabs>
          <w:tab w:val="left" w:pos="5880" w:leader="none"/>
        </w:tabs>
        <w:spacing w:lineRule="exact" w:line="560"/>
        <w:ind w:firstLine="640"/>
        <w:rPr>
          <w:rStyle w:val="C3"/>
          <w:sz w:val="32"/>
        </w:rPr>
      </w:pPr>
      <w:r>
        <w:rPr>
          <w:rStyle w:val="C3"/>
          <w:rFonts w:ascii="方正姚体" w:hAnsi="方正姚体"/>
          <w:sz w:val="32"/>
        </w:rPr>
        <w:t>（一）贯彻执行法律、法规、规章，制定和实施经开区有关管理规定；</w:t>
      </w:r>
    </w:p>
    <w:p>
      <w:pPr>
        <w:pStyle w:val="P1"/>
        <w:tabs>
          <w:tab w:val="left" w:pos="5880" w:leader="none"/>
        </w:tabs>
        <w:spacing w:lineRule="exact" w:line="560"/>
        <w:ind w:firstLine="640"/>
        <w:rPr>
          <w:rStyle w:val="C3"/>
          <w:sz w:val="32"/>
        </w:rPr>
      </w:pPr>
      <w:r>
        <w:rPr>
          <w:rStyle w:val="C3"/>
          <w:rFonts w:ascii="方正姚体" w:hAnsi="方正姚体"/>
          <w:sz w:val="32"/>
        </w:rPr>
        <w:t>（二）组织编制经开区经济社会发展规划和各专项规划，经市人民政府批准后组织实施；</w:t>
      </w:r>
    </w:p>
    <w:p>
      <w:pPr>
        <w:pStyle w:val="P1"/>
        <w:tabs>
          <w:tab w:val="left" w:pos="5880" w:leader="none"/>
        </w:tabs>
        <w:spacing w:lineRule="exact" w:line="560"/>
        <w:ind w:firstLine="640"/>
        <w:rPr>
          <w:rStyle w:val="C3"/>
          <w:sz w:val="32"/>
        </w:rPr>
      </w:pPr>
      <w:r>
        <w:rPr>
          <w:rStyle w:val="C3"/>
          <w:rFonts w:ascii="方正姚体" w:hAnsi="方正姚体"/>
          <w:sz w:val="32"/>
        </w:rPr>
        <w:t>（三）负责经开区财政、国有资产和投融资管理以及税收协调工作；</w:t>
      </w:r>
    </w:p>
    <w:p>
      <w:pPr>
        <w:pStyle w:val="P1"/>
        <w:tabs>
          <w:tab w:val="left" w:pos="5880" w:leader="none"/>
        </w:tabs>
        <w:spacing w:lineRule="exact" w:line="560"/>
        <w:ind w:firstLine="640"/>
        <w:rPr>
          <w:rStyle w:val="C3"/>
          <w:sz w:val="32"/>
        </w:rPr>
      </w:pPr>
      <w:r>
        <w:rPr>
          <w:rStyle w:val="C3"/>
          <w:rFonts w:ascii="方正姚体" w:hAnsi="方正姚体"/>
          <w:sz w:val="32"/>
        </w:rPr>
        <w:t>（四）制定并组织实施经开区各项激励措施、促进投资和生产经营的政策；</w:t>
      </w:r>
    </w:p>
    <w:p>
      <w:pPr>
        <w:pStyle w:val="P1"/>
        <w:tabs>
          <w:tab w:val="left" w:pos="5880" w:leader="none"/>
        </w:tabs>
        <w:spacing w:lineRule="exact" w:line="560"/>
        <w:ind w:firstLine="640"/>
        <w:rPr>
          <w:rStyle w:val="C3"/>
          <w:sz w:val="32"/>
        </w:rPr>
      </w:pPr>
      <w:r>
        <w:rPr>
          <w:rStyle w:val="C3"/>
          <w:rFonts w:ascii="方正姚体" w:hAnsi="方正姚体"/>
          <w:sz w:val="32"/>
        </w:rPr>
        <w:t>（五）依法行使国家、自治区、市人民政府赋予经开区的审批权限；</w:t>
      </w:r>
    </w:p>
    <w:p>
      <w:pPr>
        <w:pStyle w:val="P1"/>
        <w:tabs>
          <w:tab w:val="left" w:pos="5880" w:leader="none"/>
        </w:tabs>
        <w:spacing w:lineRule="exact" w:line="560"/>
        <w:ind w:firstLine="640"/>
        <w:rPr>
          <w:rStyle w:val="C3"/>
          <w:sz w:val="32"/>
        </w:rPr>
      </w:pPr>
      <w:r>
        <w:rPr>
          <w:rStyle w:val="C3"/>
          <w:rFonts w:ascii="方正姚体" w:hAnsi="方正姚体"/>
          <w:sz w:val="32"/>
        </w:rPr>
        <w:t>（六）管理、指导和协调招商引资、对外经济技术合作、进出口贸易等工作；</w:t>
      </w:r>
    </w:p>
    <w:p>
      <w:pPr>
        <w:pStyle w:val="P1"/>
        <w:tabs>
          <w:tab w:val="left" w:pos="5880" w:leader="none"/>
        </w:tabs>
        <w:spacing w:lineRule="exact" w:line="560"/>
        <w:ind w:firstLine="640"/>
        <w:rPr>
          <w:rStyle w:val="C3"/>
          <w:sz w:val="32"/>
        </w:rPr>
      </w:pPr>
      <w:r>
        <w:rPr>
          <w:rStyle w:val="C3"/>
          <w:rFonts w:ascii="方正姚体" w:hAnsi="方正姚体"/>
          <w:sz w:val="32"/>
        </w:rPr>
        <w:t>（七）组织园区区域评估工作，进驻园区项目应当符合园区进驻要求；</w:t>
      </w:r>
    </w:p>
    <w:p>
      <w:pPr>
        <w:pStyle w:val="P1"/>
        <w:tabs>
          <w:tab w:val="left" w:pos="5880" w:leader="none"/>
        </w:tabs>
        <w:spacing w:lineRule="exact" w:line="560"/>
        <w:ind w:firstLine="640"/>
        <w:rPr>
          <w:rStyle w:val="C3"/>
          <w:sz w:val="32"/>
        </w:rPr>
      </w:pPr>
      <w:r>
        <w:rPr>
          <w:rStyle w:val="C3"/>
          <w:rFonts w:ascii="方正姚体" w:hAnsi="方正姚体"/>
          <w:sz w:val="32"/>
        </w:rPr>
        <w:t>（八）负责发展改革、人力资源和社会保障、应急管理、审计、统计、市场监督、生态环境、城市建设和管理、绿化、文化体育、卫生健康、教育、科技等行政管理工作；</w:t>
      </w:r>
    </w:p>
    <w:p>
      <w:pPr>
        <w:pStyle w:val="P1"/>
        <w:tabs>
          <w:tab w:val="left" w:pos="5880" w:leader="none"/>
        </w:tabs>
        <w:spacing w:lineRule="exact" w:line="560"/>
        <w:ind w:firstLine="640"/>
        <w:rPr>
          <w:rStyle w:val="C3"/>
          <w:sz w:val="32"/>
        </w:rPr>
      </w:pPr>
      <w:r>
        <w:rPr>
          <w:rStyle w:val="C3"/>
          <w:rFonts w:ascii="方正姚体" w:hAnsi="方正姚体"/>
          <w:sz w:val="32"/>
        </w:rPr>
        <w:t>（九）指导、协调有关部门在经开区的派出机构、分支机构的工作；</w:t>
      </w:r>
      <w:r>
        <w:rPr>
          <w:rStyle w:val="C3"/>
          <w:sz w:val="32"/>
        </w:rPr>
        <w:t xml:space="preserve"> </w:t>
      </w:r>
    </w:p>
    <w:p>
      <w:pPr>
        <w:pStyle w:val="P1"/>
        <w:tabs>
          <w:tab w:val="left" w:pos="5880" w:leader="none"/>
        </w:tabs>
        <w:spacing w:lineRule="exact" w:line="560"/>
        <w:ind w:firstLine="640"/>
        <w:rPr>
          <w:rStyle w:val="C3"/>
          <w:sz w:val="32"/>
        </w:rPr>
      </w:pPr>
      <w:r>
        <w:rPr>
          <w:rStyle w:val="C3"/>
          <w:rFonts w:ascii="方正姚体" w:hAnsi="方正姚体"/>
          <w:sz w:val="32"/>
        </w:rPr>
        <w:t>（十）行使市人民政府委托的其他职权。</w:t>
      </w:r>
    </w:p>
    <w:p>
      <w:pPr>
        <w:pStyle w:val="P1"/>
        <w:tabs>
          <w:tab w:val="left" w:pos="5880" w:leader="none"/>
        </w:tabs>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经开区创新土地利用方式，建立土地节约、集约利用的动态评估、监督管理、考核与奖惩机制。工业、仓储物流、科研用地在法定最高出让年限内，根据产业生命周期和企业发展状况，可以采取长期租赁、先租后让、租让结合、弹性年期等方式供应。商业、工业及重大功能性项目等用地，推行带方案出让。</w:t>
      </w:r>
    </w:p>
    <w:p>
      <w:pPr>
        <w:pStyle w:val="P1"/>
        <w:tabs>
          <w:tab w:val="left" w:pos="5880" w:leader="none"/>
        </w:tabs>
        <w:spacing w:lineRule="exact" w:line="560"/>
        <w:jc w:val="center"/>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投资促进</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经开区管委会应当保障各类市场主体依法平等使用资金、技术、人力资源、土地使用权及其他自然资源等各类生产要素和公共服务资源。</w:t>
      </w:r>
    </w:p>
    <w:p>
      <w:pPr>
        <w:pStyle w:val="P1"/>
        <w:tabs>
          <w:tab w:val="left" w:pos="5880" w:leader="none"/>
        </w:tabs>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经开区管委会应当优化政务服务，融合线上线下服务，优化审批流程，实行一个窗口办理、后台集成服务，为企业、投资创业者提供一站式、代办制等优质、便捷服务。</w:t>
      </w:r>
    </w:p>
    <w:p>
      <w:pPr>
        <w:pStyle w:val="P1"/>
        <w:tabs>
          <w:tab w:val="left" w:pos="5880" w:leader="none"/>
        </w:tabs>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经开区管委会支持银行、证券、保险、信托等金融机构在经开区设立总部或分支机构，支持设立律师、公证、会计、信用、认证、检测、审计、评估、信息咨询、代理等中介服务机构，为生产经营和创新创业活动提供服务。</w:t>
      </w:r>
    </w:p>
    <w:p>
      <w:pPr>
        <w:pStyle w:val="P1"/>
        <w:tabs>
          <w:tab w:val="left" w:pos="5880" w:leader="none"/>
        </w:tabs>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经开区管委会建立健全外商投资促进体系，支持整合外商交流和经贸合作资源，建设开放战略通道和对外合作平台，建立与国际贸易投资通行规则相衔接的制度体系和监管服务模式。</w:t>
      </w:r>
    </w:p>
    <w:p>
      <w:pPr>
        <w:pStyle w:val="P1"/>
        <w:tabs>
          <w:tab w:val="left" w:pos="5880" w:leader="none"/>
        </w:tabs>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经开区管委会应当发挥政府投资基金作用，按照市场化原则，设立产业引导基金和专项发展资金。</w:t>
      </w:r>
    </w:p>
    <w:p>
      <w:pPr>
        <w:pStyle w:val="P1"/>
        <w:tabs>
          <w:tab w:val="left" w:pos="5880" w:leader="none"/>
        </w:tabs>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经开区管委会结合产业发展方向，依法制定相应的招商引资优惠政策和产业支持政策，加大对高新技术产业、战略性新兴产业等产业的支持力度。</w:t>
      </w:r>
    </w:p>
    <w:p>
      <w:pPr>
        <w:pStyle w:val="P1"/>
        <w:tabs>
          <w:tab w:val="left" w:pos="5880" w:leader="none"/>
        </w:tabs>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经开区管委会支持市场主体创新能力建设，支持多渠道增加创新投入，支持众创空间、科技企业孵化器和加速器建设和发展，推动产学研协同创新，促进科技成果产业化。</w:t>
      </w:r>
    </w:p>
    <w:p>
      <w:pPr>
        <w:pStyle w:val="P1"/>
        <w:tabs>
          <w:tab w:val="left" w:pos="5880" w:leader="none"/>
        </w:tabs>
        <w:spacing w:lineRule="exact" w:line="560"/>
        <w:jc w:val="center"/>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保障措施</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投资者在经开区投资，按规定享受国家、自治区、市和经开区的优惠政策。</w:t>
      </w:r>
    </w:p>
    <w:p>
      <w:pPr>
        <w:pStyle w:val="P1"/>
        <w:tabs>
          <w:tab w:val="left" w:pos="5880" w:leader="none"/>
        </w:tabs>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经开区创新选人用人机制，经批准可实行聘任制、绩效考核制等，允许实行兼职兼薪、年薪制、协议工资制等多种分配方式。</w:t>
      </w:r>
    </w:p>
    <w:p>
      <w:pPr>
        <w:pStyle w:val="P1"/>
        <w:tabs>
          <w:tab w:val="left" w:pos="5880" w:leader="none"/>
        </w:tabs>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经开区管委会创新人才引进、培养、使用和激励机制，鼓励科技人员、高级管理人才、留学归国人员、有国际企业工作经历的人员到经开区工作，并在优化人才宜居宜业环境等方面采取下列措施：</w:t>
      </w:r>
    </w:p>
    <w:p>
      <w:pPr>
        <w:pStyle w:val="P1"/>
        <w:tabs>
          <w:tab w:val="left" w:pos="5880" w:leader="none"/>
        </w:tabs>
        <w:spacing w:lineRule="exact" w:line="560"/>
        <w:ind w:firstLine="640"/>
        <w:rPr>
          <w:rStyle w:val="C3"/>
          <w:sz w:val="32"/>
        </w:rPr>
      </w:pPr>
      <w:r>
        <w:rPr>
          <w:rStyle w:val="C3"/>
          <w:rFonts w:ascii="方正姚体" w:hAnsi="方正姚体"/>
          <w:sz w:val="32"/>
        </w:rPr>
        <w:t>（一）建立健全人才安居政策体系，以租赁为主，租赁和出售补贴相结合的方式提供人才安居保障；</w:t>
      </w:r>
    </w:p>
    <w:p>
      <w:pPr>
        <w:pStyle w:val="P1"/>
        <w:tabs>
          <w:tab w:val="left" w:pos="5880" w:leader="none"/>
        </w:tabs>
        <w:spacing w:lineRule="exact" w:line="560"/>
        <w:ind w:firstLine="640"/>
        <w:rPr>
          <w:rStyle w:val="C3"/>
          <w:sz w:val="32"/>
        </w:rPr>
      </w:pPr>
      <w:r>
        <w:rPr>
          <w:rStyle w:val="C3"/>
          <w:rFonts w:ascii="方正姚体" w:hAnsi="方正姚体"/>
          <w:sz w:val="32"/>
        </w:rPr>
        <w:t>（二）对人才子女教育、配偶就业、医疗保健等提供便利化服务，落实相关待遇；</w:t>
      </w:r>
    </w:p>
    <w:p>
      <w:pPr>
        <w:pStyle w:val="P1"/>
        <w:tabs>
          <w:tab w:val="left" w:pos="5880" w:leader="none"/>
        </w:tabs>
        <w:spacing w:lineRule="exact" w:line="560"/>
        <w:ind w:firstLine="640"/>
        <w:rPr>
          <w:rStyle w:val="C3"/>
          <w:sz w:val="32"/>
        </w:rPr>
      </w:pPr>
      <w:r>
        <w:rPr>
          <w:rStyle w:val="C3"/>
          <w:rFonts w:ascii="方正姚体" w:hAnsi="方正姚体"/>
          <w:sz w:val="32"/>
        </w:rPr>
        <w:t>（三）推进政府、企事业单位公职人员和企业高端人才双向挂职制度；</w:t>
      </w:r>
    </w:p>
    <w:p>
      <w:pPr>
        <w:pStyle w:val="P1"/>
        <w:tabs>
          <w:tab w:val="left" w:pos="5880" w:leader="none"/>
        </w:tabs>
        <w:spacing w:lineRule="exact" w:line="560"/>
        <w:ind w:firstLine="640"/>
        <w:rPr>
          <w:rStyle w:val="C3"/>
          <w:sz w:val="32"/>
        </w:rPr>
      </w:pPr>
      <w:r>
        <w:rPr>
          <w:rStyle w:val="C3"/>
          <w:rFonts w:ascii="方正姚体" w:hAnsi="方正姚体"/>
          <w:sz w:val="32"/>
        </w:rPr>
        <w:t>（四）制定其他符合法规政策的人才引进、培养、使用和激励政策。</w:t>
      </w:r>
    </w:p>
    <w:p>
      <w:pPr>
        <w:pStyle w:val="P1"/>
        <w:tabs>
          <w:tab w:val="left" w:pos="5880" w:leader="none"/>
        </w:tabs>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经开区管委会应当建立健全投诉工作机制，受理企业和投资者反映的诉求及其对各类违法、违规行为的投诉和举报。</w:t>
      </w:r>
    </w:p>
    <w:p>
      <w:pPr>
        <w:pStyle w:val="P1"/>
        <w:tabs>
          <w:tab w:val="left" w:pos="5880" w:leader="none"/>
        </w:tabs>
        <w:spacing w:lineRule="exact" w:line="56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rPr>
          <w:rStyle w:val="C3"/>
          <w:sz w:val="32"/>
        </w:rPr>
      </w:pPr>
    </w:p>
    <w:p>
      <w:pPr>
        <w:pStyle w:val="P1"/>
        <w:spacing w:lineRule="exact" w:line="560"/>
        <w:ind w:firstLine="640"/>
        <w:rPr>
          <w:rStyle w:val="C3"/>
        </w:rPr>
      </w:pPr>
      <w:r>
        <w:rPr>
          <w:rStyle w:val="C3"/>
          <w:rFonts w:ascii="方正姚体" w:hAnsi="方正姚体"/>
          <w:sz w:val="32"/>
        </w:rPr>
        <w:t>第二十一条</w:t>
      </w:r>
      <w:r>
        <w:rPr>
          <w:rStyle w:val="C3"/>
          <w:sz w:val="32"/>
        </w:rPr>
        <w:t xml:space="preserve">  </w:t>
      </w:r>
      <w:r>
        <w:rPr>
          <w:rStyle w:val="C3"/>
          <w:rFonts w:ascii="方正姚体" w:hAnsi="方正姚体"/>
          <w:sz w:val="32"/>
        </w:rPr>
        <w:t>本条例自</w:t>
      </w:r>
      <w:r>
        <w:rPr>
          <w:rStyle w:val="C3"/>
          <w:rFonts w:ascii="仿宋_GB2312" w:hAnsi="仿宋_GB2312"/>
          <w:sz w:val="32"/>
        </w:rPr>
        <w:t>2021</w:t>
      </w:r>
      <w:r>
        <w:rPr>
          <w:rStyle w:val="C3"/>
          <w:rFonts w:ascii="方正姚体" w:hAnsi="方正姚体"/>
          <w:sz w:val="32"/>
        </w:rPr>
        <w:t>年</w:t>
      </w:r>
      <w:r>
        <w:rPr>
          <w:rStyle w:val="C3"/>
          <w:rFonts w:ascii="仿宋_GB2312" w:hAnsi="仿宋_GB2312"/>
          <w:sz w:val="32"/>
        </w:rPr>
        <w:t>1</w:t>
      </w:r>
      <w:r>
        <w:rPr>
          <w:rStyle w:val="C3"/>
          <w:rFonts w:ascii="方正姚体" w:hAnsi="方正姚体"/>
          <w:sz w:val="32"/>
        </w:rPr>
        <w:t>月</w:t>
      </w:r>
      <w:r>
        <w:rPr>
          <w:rStyle w:val="C3"/>
          <w:rFonts w:ascii="仿宋_GB2312" w:hAnsi="仿宋_GB2312"/>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sz w:val="28"/>
      </w:rPr>
    </w:pPr>
    <w:r>
      <w:rPr>
        <w:rStyle w:val="C3"/>
        <w:rFonts w:ascii="方正姚体" w:hAnsi="方正姚体"/>
        <w:sz w:val="28"/>
      </w:rPr>
      <w:t>－</w:t>
    </w:r>
    <w:r>
      <w:rPr>
        <w:rStyle w:val="C3"/>
        <w:sz w:val="28"/>
      </w:rPr>
      <w:t xml:space="preserve">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r>
      <w:rPr>
        <w:rStyle w:val="C3"/>
        <w:rFonts w:ascii="方正姚体" w:hAnsi="方正姚体"/>
        <w:sz w:val="28"/>
      </w:rPr>
      <w:t>－</w: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sz w:val="28"/>
      </w:rPr>
    </w:pPr>
    <w:r>
      <w:rPr>
        <w:rStyle w:val="C3"/>
        <w:rFonts w:ascii="方正姚体" w:hAnsi="方正姚体"/>
        <w:sz w:val="28"/>
      </w:rPr>
      <w:t>－</w:t>
    </w:r>
    <w:r>
      <w:rPr>
        <w:rStyle w:val="C3"/>
        <w:sz w:val="28"/>
      </w:rPr>
      <w:t xml:space="preserve">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r>
      <w:rPr>
        <w:rStyle w:val="C3"/>
        <w:rFonts w:ascii="方正姚体" w:hAnsi="方正姚体"/>
        <w:sz w:val="28"/>
      </w:rPr>
      <w:t>－</w:t>
    </w:r>
  </w:p>
  <w:p>
    <w:pPr>
      <w:pStyle w:val="P2"/>
      <w:rPr>
        <w:rStyle w:val="C3"/>
      </w:rPr>
    </w:pPr>
  </w:p>
</w:ftr>
</file>

<file path=word/numbering.xml><?xml version="1.0" encoding="utf-8"?>
<w:numbering xmlns:w="http://schemas.openxmlformats.org/wordprocessingml/2006/main">
  <w:abstractNum w:abstractNumId="0">
    <w:nsid w:val="FDB66833"/>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qFormat/>
    <w:pPr>
      <w:widowControl w:val="0"/>
      <w:jc w:val="both"/>
    </w:pPr>
    <w:rPr>
      <w:sz w:val="21"/>
    </w:rPr>
  </w:style>
  <w:style w:type="paragraph" w:styleId="P2">
    <w:name w:val="页脚"/>
    <w:basedOn w:val="P1"/>
    <w:next w:val="P2"/>
    <w:link w:val="C6"/>
    <w:qFormat/>
    <w:pPr>
      <w:tabs>
        <w:tab w:val="center" w:pos="4153" w:leader="none"/>
        <w:tab w:val="right" w:pos="8306" w:leader="none"/>
      </w:tabs>
      <w:jc w:val="left"/>
    </w:pPr>
    <w:rPr>
      <w:sz w:val="18"/>
    </w:rPr>
  </w:style>
  <w:style w:type="paragraph" w:styleId="P3">
    <w:name w:val="普通(网站)"/>
    <w:basedOn w:val="P1"/>
    <w:next w:val="P3"/>
    <w:qFormat/>
    <w:pPr>
      <w:widowControl w:val="1"/>
      <w:spacing w:before="100" w:after="100" w:beforeAutospacing="1" w:afterAutospacing="1"/>
      <w:jc w:val="left"/>
    </w:pPr>
    <w:rPr>
      <w:rFonts w:ascii="宋体" w:hAnsi="宋体"/>
      <w:sz w:val="24"/>
    </w:rPr>
  </w:style>
  <w:style w:type="paragraph" w:styleId="P4">
    <w:name w:val="纯文本"/>
    <w:basedOn w:val="P1"/>
    <w:next w:val="P4"/>
    <w:link w:val="C8"/>
    <w:qFormat/>
    <w:pPr/>
    <w:rPr>
      <w:rFonts w:ascii="宋体" w:hAnsi="宋体"/>
    </w:rPr>
  </w:style>
  <w:style w:type="paragraph" w:styleId="P5">
    <w:name w:val="页眉"/>
    <w:basedOn w:val="P1"/>
    <w:next w:val="P5"/>
    <w:link w:val="C7"/>
    <w:qFormat/>
    <w:pPr>
      <w:pBdr>
        <w:bottom w:val="single" w:sz="6" w:space="0" w:shadow="0" w:frame="0"/>
      </w:pBdr>
      <w:tabs>
        <w:tab w:val="center" w:pos="4153" w:leader="none"/>
        <w:tab w:val="right" w:pos="8306" w:leader="none"/>
      </w:tabs>
      <w:jc w:val="center"/>
    </w:pPr>
    <w:rPr>
      <w:sz w:val="18"/>
    </w:rPr>
  </w:style>
  <w:style w:type="paragraph" w:styleId="P6">
    <w:name w:val="p0"/>
    <w:basedOn w:val="P1"/>
    <w:next w:val="P6"/>
    <w:pPr>
      <w:widowControl w:val="1"/>
    </w:pPr>
    <w:rPr>
      <w:rFonts w:ascii="Times New Roman" w:hAnsi="Times New Roman"/>
    </w:rPr>
  </w:style>
  <w:style w:type="paragraph" w:styleId="P7">
    <w:name w:val="List Paragraph"/>
    <w:basedOn w:val="P1"/>
    <w:next w:val="P7"/>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sz w:val="32"/>
    </w:rPr>
  </w:style>
  <w:style w:type="character" w:styleId="C5">
    <w:name w:val="页码"/>
    <w:basedOn w:val="C3"/>
    <w:rPr/>
  </w:style>
  <w:style w:type="character" w:styleId="C6">
    <w:name w:val="页脚 Char"/>
    <w:basedOn w:val="C3"/>
    <w:link w:val="P2"/>
    <w:qFormat/>
    <w:rPr>
      <w:sz w:val="18"/>
    </w:rPr>
  </w:style>
  <w:style w:type="character" w:styleId="C7">
    <w:name w:val="页眉 Char"/>
    <w:basedOn w:val="C3"/>
    <w:link w:val="P5"/>
    <w:qFormat/>
    <w:rPr>
      <w:sz w:val="18"/>
    </w:rPr>
  </w:style>
  <w:style w:type="character" w:styleId="C8">
    <w:name w:val="纯文本 Char"/>
    <w:basedOn w:val="C3"/>
    <w:link w:val="P4"/>
    <w:qFormat/>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综合处</dc:creator>
  <dcterms:created xsi:type="dcterms:W3CDTF">2019-06-24T05:50:00Z</dcterms:created>
  <cp:lastModifiedBy>f1TZOF\f1TZOF-</cp:lastModifiedBy>
  <cp:lastPrinted>2019-08-05T02:51:00Z</cp:lastPrinted>
  <dcterms:modified xsi:type="dcterms:W3CDTF">2024-08-28T01:35:34Z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2052-11.8.2.8696</vt:lpwstr>
  </property>
</Properties>
</file>