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E13AD" Type="http://schemas.openxmlformats.org/officeDocument/2006/relationships/officeDocument" Target="/word/document.xml" /><Relationship Id="coreR76EE13AD" Type="http://schemas.openxmlformats.org/package/2006/relationships/metadata/core-properties" Target="/docProps/core.xml" /><Relationship Id="customR76EE13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40"/>
        <w:jc w:val="center"/>
        <w:rPr>
          <w:rStyle w:val="C3"/>
          <w:color w:val="000000"/>
          <w:sz w:val="44"/>
        </w:rPr>
      </w:pPr>
      <w:r>
        <w:rPr>
          <w:rStyle w:val="C3"/>
          <w:rFonts w:ascii="方正姚体" w:hAnsi="方正姚体"/>
          <w:color w:val="000000"/>
          <w:sz w:val="44"/>
        </w:rPr>
        <w:t>海南省无障碍环境建设管理条例</w:t>
      </w:r>
    </w:p>
    <w:p>
      <w:pPr>
        <w:pStyle w:val="P1"/>
        <w:spacing w:lineRule="exact" w:line="240"/>
        <w:jc w:val="center"/>
        <w:rPr>
          <w:rStyle w:val="C3"/>
          <w:color w:val="000000"/>
          <w:sz w:val="32"/>
        </w:rPr>
      </w:pPr>
    </w:p>
    <w:p>
      <w:pPr>
        <w:pStyle w:val="P1"/>
        <w:spacing w:lineRule="exact" w:line="560"/>
        <w:jc w:val="center"/>
        <w:rPr>
          <w:rStyle w:val="C3"/>
          <w:color w:val="000000"/>
          <w:sz w:val="32"/>
        </w:rPr>
      </w:pPr>
      <w:r>
        <w:rPr>
          <w:rStyle w:val="C3"/>
          <w:rFonts w:ascii="方正姚体" w:hAnsi="方正姚体"/>
          <w:color w:val="000000"/>
          <w:sz w:val="32"/>
        </w:rPr>
        <w:t>（</w:t>
      </w:r>
      <w:r>
        <w:rPr>
          <w:rStyle w:val="C3"/>
          <w:color w:val="000000"/>
          <w:sz w:val="32"/>
        </w:rPr>
        <w:t>2020</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w:t>
      </w:r>
      <w:r>
        <w:rPr>
          <w:rStyle w:val="C3"/>
          <w:rFonts w:ascii="方正姚体" w:hAnsi="方正姚体"/>
          <w:color w:val="000000"/>
          <w:sz w:val="32"/>
        </w:rPr>
        <w:t>日海南省第六届人民代表大会常务委员会</w:t>
      </w:r>
    </w:p>
    <w:p>
      <w:pPr>
        <w:pStyle w:val="P1"/>
        <w:spacing w:lineRule="exact" w:line="560"/>
        <w:jc w:val="center"/>
        <w:rPr>
          <w:rStyle w:val="C3"/>
          <w:color w:val="000000"/>
          <w:sz w:val="28"/>
        </w:rPr>
      </w:pPr>
      <w:r>
        <w:rPr>
          <w:rStyle w:val="C3"/>
          <w:rFonts w:ascii="方正姚体" w:hAnsi="方正姚体"/>
          <w:color w:val="000000"/>
          <w:sz w:val="32"/>
        </w:rPr>
        <w:t>第十九次会议通过）</w:t>
      </w:r>
    </w:p>
    <w:p>
      <w:pPr>
        <w:pStyle w:val="P1"/>
        <w:spacing w:lineRule="exact" w:line="580"/>
        <w:jc w:val="center"/>
        <w:rPr>
          <w:rStyle w:val="C3"/>
          <w:color w:val="000000"/>
          <w:sz w:val="30"/>
        </w:rPr>
      </w:pPr>
    </w:p>
    <w:p>
      <w:pPr>
        <w:pStyle w:val="P1"/>
        <w:spacing w:lineRule="atLeast" w:line="560"/>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提升海南社会文明程度和国际化水平，创造优良人居环境，保障残疾人等社会成员平等参与社会生活，根据《中华人民共和国残疾人保障法》《无障碍环境建设条例》等有关法律法规，结合本省实际，制定本条例。</w:t>
      </w:r>
    </w:p>
    <w:p>
      <w:pPr>
        <w:pStyle w:val="P1"/>
        <w:spacing w:lineRule="atLeast" w:line="560"/>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本条例所称无障碍环境建设管理，是指为便于残疾人、老年人等社会成员自主安全地通行道路、出入相关建筑物、搭乘公共交通工具、交流信息、获得社区服务、居家生活等所进行的建设管理活动。</w:t>
      </w:r>
    </w:p>
    <w:p>
      <w:pPr>
        <w:pStyle w:val="P1"/>
        <w:spacing w:lineRule="atLeast" w:line="560"/>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县级以上人民政府应当加强对无障碍环境建设管理工作的领导。</w:t>
      </w:r>
    </w:p>
    <w:p>
      <w:pPr>
        <w:pStyle w:val="P1"/>
        <w:spacing w:lineRule="atLeast" w:line="560"/>
        <w:ind w:firstLine="640"/>
        <w:rPr>
          <w:rStyle w:val="C3"/>
          <w:color w:val="000000"/>
          <w:sz w:val="32"/>
        </w:rPr>
      </w:pPr>
      <w:r>
        <w:rPr>
          <w:rStyle w:val="C3"/>
          <w:rFonts w:ascii="方正姚体" w:hAnsi="方正姚体"/>
          <w:color w:val="000000"/>
          <w:sz w:val="32"/>
        </w:rPr>
        <w:t>县级以上人民政府残疾人工作委员会负责组织、协调、指导、督促有关部门做好无障碍环境建设管理工作。</w:t>
      </w:r>
    </w:p>
    <w:p>
      <w:pPr>
        <w:pStyle w:val="P1"/>
        <w:spacing w:lineRule="atLeast" w:line="560"/>
        <w:ind w:firstLine="640"/>
        <w:rPr>
          <w:rStyle w:val="C3"/>
          <w:color w:val="000000"/>
          <w:sz w:val="32"/>
        </w:rPr>
      </w:pPr>
      <w:r>
        <w:rPr>
          <w:rStyle w:val="C3"/>
          <w:rFonts w:ascii="方正姚体" w:hAnsi="方正姚体"/>
          <w:color w:val="000000"/>
          <w:sz w:val="32"/>
        </w:rPr>
        <w:t>县级以上人民政府住房和城乡建设部门负责无障碍设施工程建设管理活动的监督管理工作，会同有关部门对无障碍设施工程建设管理情况进行监督检查。</w:t>
      </w:r>
    </w:p>
    <w:p>
      <w:pPr>
        <w:pStyle w:val="P1"/>
        <w:spacing w:lineRule="atLeast" w:line="560"/>
        <w:ind w:firstLine="640"/>
        <w:rPr>
          <w:rStyle w:val="C3"/>
          <w:color w:val="000000"/>
          <w:sz w:val="32"/>
        </w:rPr>
      </w:pPr>
      <w:r>
        <w:rPr>
          <w:rStyle w:val="C3"/>
          <w:rFonts w:ascii="方正姚体" w:hAnsi="方正姚体"/>
          <w:color w:val="000000"/>
          <w:sz w:val="32"/>
        </w:rPr>
        <w:t>县级以上人民政府发展和改革、自然资源和规划、市政管理、旅游和文化广电体育、商务、公安、民政、教育、卫生健康、交通运输等有关部门在各自职责范围内，做好无障碍环境建设管理工作，并督促本行业、本领域有关单位开展无障碍环境建设管理工作。</w:t>
      </w:r>
    </w:p>
    <w:p>
      <w:pPr>
        <w:pStyle w:val="P1"/>
        <w:spacing w:lineRule="atLeast" w:line="560"/>
        <w:ind w:firstLine="640"/>
        <w:rPr>
          <w:rStyle w:val="C3"/>
          <w:color w:val="000000"/>
          <w:sz w:val="32"/>
        </w:rPr>
      </w:pPr>
      <w:r>
        <w:rPr>
          <w:rStyle w:val="C3"/>
          <w:rFonts w:ascii="方正姚体" w:hAnsi="方正姚体"/>
          <w:color w:val="000000"/>
          <w:sz w:val="32"/>
        </w:rPr>
        <w:t>乡镇人民政府、街道办事处应当配合有关部门做好本行政区域内的无障碍环境建设管理工作。</w:t>
      </w:r>
    </w:p>
    <w:p>
      <w:pPr>
        <w:pStyle w:val="P1"/>
        <w:spacing w:lineRule="atLeast" w:line="560"/>
        <w:ind w:firstLine="640"/>
        <w:rPr>
          <w:rStyle w:val="C3"/>
          <w:color w:val="000000"/>
          <w:sz w:val="32"/>
        </w:rPr>
      </w:pPr>
      <w:r>
        <w:rPr>
          <w:rStyle w:val="C3"/>
          <w:rFonts w:ascii="方正姚体" w:hAnsi="方正姚体"/>
          <w:color w:val="000000"/>
          <w:sz w:val="32"/>
        </w:rPr>
        <w:t>村民委员会、居民委员会应当协助乡镇人民政府、街道办事处做好公共服务设施无障碍建设管理工作。</w:t>
      </w:r>
    </w:p>
    <w:p>
      <w:pPr>
        <w:pStyle w:val="P1"/>
        <w:spacing w:lineRule="atLeast" w:line="560"/>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残疾人联合会等相关单位应当主动了解残疾人等社会成员的无障碍环境建设需求，并向有关部门提出意见和建议，组织开展无障碍环境建设宣传和社会监督活动，配合做好无障碍环境建设规划的制定和实施工作。</w:t>
      </w:r>
    </w:p>
    <w:p>
      <w:pPr>
        <w:pStyle w:val="P1"/>
        <w:spacing w:lineRule="atLeast" w:line="560"/>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县级以上人民政府负责组织自然资源和规划、住房和城乡建设、发展和改革、旅游和文化广电体育、商务、公安、民政、教育、卫生健康、交通运输等有关部门编制无障碍环境建设专项规划并组织实施。</w:t>
      </w:r>
    </w:p>
    <w:p>
      <w:pPr>
        <w:pStyle w:val="P1"/>
        <w:spacing w:lineRule="atLeast" w:line="560"/>
        <w:ind w:firstLine="640"/>
        <w:rPr>
          <w:rStyle w:val="C3"/>
          <w:color w:val="000000"/>
          <w:sz w:val="32"/>
        </w:rPr>
      </w:pPr>
      <w:r>
        <w:rPr>
          <w:rStyle w:val="C3"/>
          <w:rFonts w:ascii="方正姚体" w:hAnsi="方正姚体"/>
          <w:color w:val="000000"/>
          <w:sz w:val="32"/>
        </w:rPr>
        <w:t>无障碍环境建设专项规划应当纳入国民经济和社会发展规划以及国土空间规划。</w:t>
      </w:r>
    </w:p>
    <w:p>
      <w:pPr>
        <w:pStyle w:val="P1"/>
        <w:spacing w:lineRule="atLeast" w:line="560"/>
        <w:ind w:firstLine="640"/>
        <w:rPr>
          <w:rStyle w:val="C3"/>
          <w:color w:val="000000"/>
          <w:sz w:val="32"/>
        </w:rPr>
      </w:pPr>
      <w:r>
        <w:rPr>
          <w:rStyle w:val="C3"/>
          <w:rFonts w:ascii="方正姚体" w:hAnsi="方正姚体"/>
          <w:color w:val="000000"/>
          <w:sz w:val="32"/>
        </w:rPr>
        <w:t>县级以上人民政府应当每五年至少组织一次无障碍环境建设专项规划实施情况评估。</w:t>
      </w:r>
    </w:p>
    <w:p>
      <w:pPr>
        <w:pStyle w:val="P1"/>
        <w:spacing w:lineRule="atLeast" w:line="560"/>
        <w:ind w:firstLine="640"/>
        <w:rPr>
          <w:rStyle w:val="C3"/>
          <w:color w:val="000000"/>
          <w:sz w:val="32"/>
        </w:rPr>
      </w:pPr>
      <w:r>
        <w:rPr>
          <w:rStyle w:val="C3"/>
          <w:rFonts w:ascii="方正姚体" w:hAnsi="方正姚体"/>
          <w:color w:val="000000"/>
          <w:sz w:val="32"/>
        </w:rPr>
        <w:t>市、县、自治县人民政府应当向省人民政府报告无障碍环境建设专项规划的实施情况。</w:t>
      </w:r>
    </w:p>
    <w:p>
      <w:pPr>
        <w:pStyle w:val="P1"/>
        <w:spacing w:lineRule="atLeast" w:line="560"/>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县级以上人民政府应当将无障碍信息交流建设纳入信息化建设规划，引导和鼓励有关部门、科研单位、企业或者个人开展无障碍信息交流技术、产品、服务的研发、推广和应用工作，为残疾人、老年人等社会成员获取公共信息提供便利。</w:t>
      </w:r>
    </w:p>
    <w:p>
      <w:pPr>
        <w:pStyle w:val="P1"/>
        <w:spacing w:lineRule="atLeast" w:line="560"/>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县级以上人民政府应当加强无障碍技术人才的培养和引进。</w:t>
      </w:r>
    </w:p>
    <w:p>
      <w:pPr>
        <w:pStyle w:val="P1"/>
        <w:spacing w:lineRule="atLeast" w:line="560"/>
        <w:ind w:firstLine="640"/>
        <w:rPr>
          <w:rStyle w:val="C3"/>
          <w:color w:val="000000"/>
          <w:sz w:val="32"/>
        </w:rPr>
      </w:pPr>
      <w:r>
        <w:rPr>
          <w:rStyle w:val="C3"/>
          <w:rFonts w:ascii="方正姚体" w:hAnsi="方正姚体"/>
          <w:color w:val="000000"/>
          <w:sz w:val="32"/>
        </w:rPr>
        <w:t>省人民政府残疾人工作委员会应当组织建立无障碍环境建设管理专家库，聘任无障碍环境建设管理领域内的专业人才，为无障碍环境建设管理工作提供技术支持和服务。</w:t>
      </w:r>
      <w:r>
        <w:rPr>
          <w:rStyle w:val="C3"/>
          <w:color w:val="000000"/>
          <w:sz w:val="32"/>
        </w:rPr>
        <w:t xml:space="preserve"> </w:t>
      </w:r>
    </w:p>
    <w:p>
      <w:pPr>
        <w:pStyle w:val="P1"/>
        <w:spacing w:lineRule="atLeast" w:line="560"/>
        <w:ind w:firstLine="640"/>
        <w:rPr>
          <w:rStyle w:val="C3"/>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方正姚体" w:hAnsi="方正姚体"/>
          <w:color w:val="000000"/>
          <w:sz w:val="32"/>
        </w:rPr>
        <w:t>县级以上人民政府及其有关部门应当利用广播、电视、报刊、互联网等媒体，加强对无障碍环境的宣传，增强社会公众的无障碍环境建设管理意识。</w:t>
      </w:r>
    </w:p>
    <w:p>
      <w:pPr>
        <w:pStyle w:val="P1"/>
        <w:spacing w:lineRule="atLeast" w:line="560"/>
        <w:ind w:firstLine="640"/>
        <w:rPr>
          <w:rStyle w:val="C3"/>
          <w:color w:val="000000"/>
          <w:sz w:val="32"/>
        </w:rPr>
      </w:pPr>
      <w:r>
        <w:rPr>
          <w:rStyle w:val="C3"/>
          <w:rFonts w:ascii="方正姚体" w:hAnsi="方正姚体"/>
          <w:color w:val="000000"/>
          <w:sz w:val="32"/>
        </w:rPr>
        <w:t>鼓励公民、法人或者其他组织为无障碍环境建设管理提供捐助及志愿服务。</w:t>
      </w:r>
    </w:p>
    <w:p>
      <w:pPr>
        <w:pStyle w:val="P1"/>
        <w:spacing w:lineRule="atLeast" w:line="56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新建、改建、扩建的道路、公共建筑、公共交通设施、居住区等以及城镇的居住建筑应当符合无障碍设施工程建设标准。</w:t>
      </w:r>
    </w:p>
    <w:p>
      <w:pPr>
        <w:pStyle w:val="P1"/>
        <w:spacing w:lineRule="atLeast" w:line="560"/>
        <w:ind w:firstLine="640"/>
        <w:rPr>
          <w:rStyle w:val="C3"/>
          <w:color w:val="000000"/>
          <w:sz w:val="32"/>
        </w:rPr>
      </w:pPr>
      <w:r>
        <w:rPr>
          <w:rStyle w:val="C3"/>
          <w:rFonts w:ascii="方正姚体" w:hAnsi="方正姚体"/>
          <w:color w:val="000000"/>
          <w:sz w:val="32"/>
        </w:rPr>
        <w:t>国家规定乡、村庄的居住建筑应当符合无障碍设施工程建设标准的，从其规定。</w:t>
      </w:r>
    </w:p>
    <w:p>
      <w:pPr>
        <w:pStyle w:val="P1"/>
        <w:spacing w:lineRule="atLeast" w:line="56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无障碍设施工程应当与主体工程同步规划、同步设计、同步施工、同步验收投入使用。新建的无障碍设施应当与周边的无障碍设施相衔接。</w:t>
      </w:r>
    </w:p>
    <w:p>
      <w:pPr>
        <w:pStyle w:val="P1"/>
        <w:spacing w:lineRule="atLeast" w:line="560"/>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建设项目审批部门、规划行政主管部门依照无障碍环境建设标准做好审核工作，对不符合无障碍环境建设标准的道路、公共建筑、公共交通设施、居住建筑、居住区等建设项目依法不予批准或许可。</w:t>
      </w:r>
    </w:p>
    <w:p>
      <w:pPr>
        <w:pStyle w:val="P1"/>
        <w:spacing w:lineRule="atLeast" w:line="560"/>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鼓励建设、设计、施工等单位采用先进的理念和技术，建设人性化、系统化、与周边环境相协调的无障碍设施。</w:t>
      </w:r>
    </w:p>
    <w:p>
      <w:pPr>
        <w:pStyle w:val="P1"/>
        <w:spacing w:lineRule="atLeast" w:line="560"/>
        <w:ind w:firstLine="640"/>
        <w:rPr>
          <w:rStyle w:val="C3"/>
          <w:color w:val="000000"/>
          <w:sz w:val="32"/>
        </w:rPr>
      </w:pPr>
      <w:r>
        <w:rPr>
          <w:rStyle w:val="C3"/>
          <w:rFonts w:ascii="方正姚体" w:hAnsi="方正姚体"/>
          <w:color w:val="000000"/>
          <w:sz w:val="32"/>
        </w:rPr>
        <w:t>设计单位进行建设工程设计时，应当按照无障碍设计规范的要求，设计配套的无障碍设施。</w:t>
      </w:r>
    </w:p>
    <w:p>
      <w:pPr>
        <w:pStyle w:val="P1"/>
        <w:spacing w:lineRule="atLeast" w:line="560"/>
        <w:ind w:firstLine="640"/>
        <w:rPr>
          <w:rStyle w:val="C3"/>
          <w:color w:val="000000"/>
          <w:sz w:val="32"/>
        </w:rPr>
      </w:pPr>
      <w:r>
        <w:rPr>
          <w:rStyle w:val="C3"/>
          <w:rFonts w:ascii="方正姚体" w:hAnsi="方正姚体"/>
          <w:color w:val="000000"/>
          <w:sz w:val="32"/>
        </w:rPr>
        <w:t>施工图设计文件审查机构应当按照无障碍设施工程建设标准对设计文件进行审查，对应当设计无障碍设施而未设计或者设计不符合标准的设计文件，不得通过审查。</w:t>
      </w:r>
    </w:p>
    <w:p>
      <w:pPr>
        <w:pStyle w:val="P1"/>
        <w:spacing w:lineRule="atLeast" w:line="560"/>
        <w:ind w:firstLine="640"/>
        <w:rPr>
          <w:rStyle w:val="C3"/>
          <w:color w:val="000000"/>
          <w:sz w:val="32"/>
        </w:rPr>
      </w:pPr>
      <w:r>
        <w:rPr>
          <w:rStyle w:val="C3"/>
          <w:rFonts w:ascii="方正姚体" w:hAnsi="方正姚体"/>
          <w:color w:val="000000"/>
          <w:sz w:val="32"/>
        </w:rPr>
        <w:t>施工单位应当按照审查合格的施工图设计文件和施工技术标准进行无障碍设施施工，并对施工质量负责。</w:t>
      </w:r>
    </w:p>
    <w:p>
      <w:pPr>
        <w:pStyle w:val="P1"/>
        <w:spacing w:lineRule="atLeast" w:line="560"/>
        <w:ind w:firstLine="640"/>
        <w:rPr>
          <w:rStyle w:val="C3"/>
          <w:color w:val="000000"/>
          <w:sz w:val="32"/>
        </w:rPr>
      </w:pPr>
      <w:r>
        <w:rPr>
          <w:rStyle w:val="C3"/>
          <w:rFonts w:ascii="方正姚体" w:hAnsi="方正姚体"/>
          <w:color w:val="000000"/>
          <w:sz w:val="32"/>
        </w:rPr>
        <w:t>工程监理单位应当依照法律法规以及无障碍设施工程建设标准、审查合格的施工图设计文件，对无障碍设施的施工质量实施监理，并对施工质量承担监理责任。</w:t>
      </w:r>
    </w:p>
    <w:p>
      <w:pPr>
        <w:pStyle w:val="P1"/>
        <w:spacing w:lineRule="atLeast" w:line="560"/>
        <w:ind w:firstLine="640"/>
        <w:rPr>
          <w:rStyle w:val="C3"/>
          <w:color w:val="000000"/>
          <w:sz w:val="32"/>
        </w:rPr>
      </w:pPr>
      <w:r>
        <w:rPr>
          <w:rStyle w:val="C3"/>
          <w:rFonts w:ascii="方正姚体" w:hAnsi="方正姚体"/>
          <w:color w:val="000000"/>
          <w:sz w:val="32"/>
        </w:rPr>
        <w:t>建设单位应当将无障碍设施作为建设项目竣工验收的内容，验收合格后，方可交付使用；未经验收或者验收不合格的，不得交付使用。</w:t>
      </w:r>
    </w:p>
    <w:p>
      <w:pPr>
        <w:pStyle w:val="P1"/>
        <w:spacing w:lineRule="atLeast" w:line="560"/>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对已建成的不符合无障碍设施工程建设标准的道路、公共建筑、公共交通设施、居住区、居住建筑等，县级以上人民政府应当制定无障碍设施改造计划，并与基础设施建设和改造计划相衔接。</w:t>
      </w:r>
    </w:p>
    <w:p>
      <w:pPr>
        <w:pStyle w:val="P1"/>
        <w:spacing w:lineRule="atLeast" w:line="560"/>
        <w:ind w:firstLine="640"/>
        <w:rPr>
          <w:rStyle w:val="C3"/>
          <w:color w:val="000000"/>
          <w:sz w:val="32"/>
        </w:rPr>
      </w:pPr>
      <w:r>
        <w:rPr>
          <w:rStyle w:val="C3"/>
          <w:rFonts w:ascii="方正姚体" w:hAnsi="方正姚体"/>
          <w:color w:val="000000"/>
          <w:sz w:val="32"/>
        </w:rPr>
        <w:t>所有权人或者管理人改造无障碍设施的，应当符合无障碍环境建设专项规划、无障碍设施工程建设标准。</w:t>
      </w:r>
    </w:p>
    <w:p>
      <w:pPr>
        <w:pStyle w:val="P1"/>
        <w:spacing w:lineRule="atLeast" w:line="560"/>
        <w:ind w:firstLine="640"/>
        <w:rPr>
          <w:rStyle w:val="C3"/>
          <w:strike w:val="1"/>
          <w:color w:val="000000"/>
          <w:sz w:val="32"/>
        </w:rPr>
      </w:pPr>
      <w:r>
        <w:rPr>
          <w:rStyle w:val="C3"/>
          <w:rFonts w:ascii="方正姚体" w:hAnsi="方正姚体"/>
          <w:color w:val="000000"/>
          <w:sz w:val="32"/>
        </w:rPr>
        <w:t>县级以上人民政府可以安排资金用于残疾人集中就业的用人单位进行无障碍改造。</w:t>
      </w:r>
    </w:p>
    <w:p>
      <w:pPr>
        <w:pStyle w:val="P1"/>
        <w:spacing w:lineRule="atLeast" w:line="560"/>
        <w:ind w:firstLine="640"/>
        <w:rPr>
          <w:rStyle w:val="C3"/>
          <w:color w:val="000000"/>
          <w:sz w:val="32"/>
        </w:rPr>
      </w:pPr>
      <w:r>
        <w:rPr>
          <w:rStyle w:val="C3"/>
          <w:rFonts w:ascii="方正姚体" w:hAnsi="方正姚体"/>
          <w:color w:val="000000"/>
          <w:sz w:val="32"/>
        </w:rPr>
        <w:t>县级以上人民政府有关部门应当安排资金用于道路的无障碍改造。</w:t>
      </w:r>
    </w:p>
    <w:p>
      <w:pPr>
        <w:pStyle w:val="P1"/>
        <w:spacing w:lineRule="atLeast" w:line="560"/>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建设无障碍设施应当遵守下列规定：</w:t>
      </w:r>
    </w:p>
    <w:p>
      <w:pPr>
        <w:pStyle w:val="P1"/>
        <w:spacing w:lineRule="atLeast" w:line="560"/>
        <w:ind w:firstLine="640"/>
        <w:rPr>
          <w:rStyle w:val="C3"/>
          <w:color w:val="000000"/>
          <w:sz w:val="32"/>
        </w:rPr>
      </w:pPr>
      <w:r>
        <w:rPr>
          <w:rStyle w:val="C3"/>
          <w:rFonts w:ascii="方正姚体" w:hAnsi="方正姚体"/>
          <w:color w:val="000000"/>
          <w:sz w:val="32"/>
        </w:rPr>
        <w:t>（一）主要道路、大型商业区和人口密集的居住区等的人行天桥和人行地下通道应当配备无障碍设施，人行道的路口、出入口位置应当设置缘石坡道，人行道信号灯应当设置语音提示装置；</w:t>
      </w:r>
    </w:p>
    <w:p>
      <w:pPr>
        <w:pStyle w:val="P1"/>
        <w:spacing w:lineRule="atLeast" w:line="560"/>
        <w:ind w:firstLine="640"/>
        <w:rPr>
          <w:rStyle w:val="C3"/>
          <w:color w:val="000000"/>
          <w:sz w:val="32"/>
        </w:rPr>
      </w:pPr>
      <w:r>
        <w:rPr>
          <w:rStyle w:val="C3"/>
          <w:rFonts w:ascii="方正姚体" w:hAnsi="方正姚体"/>
          <w:color w:val="000000"/>
          <w:sz w:val="32"/>
        </w:rPr>
        <w:t>（二）公共建筑的售票处、服务台、公用电话、饮水器等应当设置低位服务设施；</w:t>
      </w:r>
    </w:p>
    <w:p>
      <w:pPr>
        <w:pStyle w:val="P1"/>
        <w:spacing w:lineRule="atLeast" w:line="560"/>
        <w:ind w:firstLine="640"/>
        <w:rPr>
          <w:rStyle w:val="C3"/>
          <w:color w:val="000000"/>
          <w:sz w:val="32"/>
        </w:rPr>
      </w:pPr>
      <w:r>
        <w:rPr>
          <w:rStyle w:val="C3"/>
          <w:rFonts w:ascii="方正姚体" w:hAnsi="方正姚体"/>
          <w:color w:val="000000"/>
          <w:sz w:val="32"/>
        </w:rPr>
        <w:t>（三）公共建筑、公共交通设施的玻璃门、玻璃墙、楼梯口、电梯口和通道等处应当设置警示标志、信号或者指示装置；</w:t>
      </w:r>
    </w:p>
    <w:p>
      <w:pPr>
        <w:pStyle w:val="P1"/>
        <w:spacing w:lineRule="atLeast" w:line="560"/>
        <w:ind w:firstLine="640"/>
        <w:rPr>
          <w:rStyle w:val="C3"/>
          <w:color w:val="000000"/>
          <w:sz w:val="32"/>
        </w:rPr>
      </w:pPr>
      <w:r>
        <w:rPr>
          <w:rStyle w:val="C3"/>
          <w:rFonts w:ascii="方正姚体" w:hAnsi="方正姚体"/>
          <w:color w:val="000000"/>
          <w:sz w:val="32"/>
        </w:rPr>
        <w:t>（四）公共交通工具应当为残疾人、老年人等社会成员设置专座，并逐步安装字幕、语音报站装置和供视力障碍者识别的车辆导盲系统；停靠站设置盲文站牌的，站牌的位置、高度、形式和内容应当方便视觉障碍者使用；</w:t>
      </w:r>
    </w:p>
    <w:p>
      <w:pPr>
        <w:pStyle w:val="P1"/>
        <w:spacing w:lineRule="atLeast" w:line="560"/>
        <w:ind w:firstLine="640"/>
        <w:rPr>
          <w:rStyle w:val="C3"/>
          <w:color w:val="000000"/>
          <w:sz w:val="32"/>
        </w:rPr>
      </w:pPr>
      <w:r>
        <w:rPr>
          <w:rStyle w:val="C3"/>
          <w:rFonts w:ascii="方正姚体" w:hAnsi="方正姚体"/>
          <w:color w:val="000000"/>
          <w:sz w:val="32"/>
        </w:rPr>
        <w:t>（五）公交公司等应当配置一定比例方便乘坐轮椅乘客使用的无障碍车辆；</w:t>
      </w:r>
    </w:p>
    <w:p>
      <w:pPr>
        <w:pStyle w:val="P1"/>
        <w:spacing w:lineRule="atLeast" w:line="560"/>
        <w:ind w:firstLine="640"/>
        <w:rPr>
          <w:rStyle w:val="C3"/>
          <w:color w:val="000000"/>
          <w:sz w:val="32"/>
        </w:rPr>
      </w:pPr>
      <w:r>
        <w:rPr>
          <w:rStyle w:val="C3"/>
          <w:rFonts w:ascii="方正姚体" w:hAnsi="方正姚体"/>
          <w:color w:val="000000"/>
          <w:sz w:val="32"/>
        </w:rPr>
        <w:t>（六）公共建筑、室外公共厕所应当设置含有残疾人专用厕位和出入口坡道的无障碍卫生间。</w:t>
      </w:r>
    </w:p>
    <w:p>
      <w:pPr>
        <w:pStyle w:val="P1"/>
        <w:spacing w:lineRule="atLeast" w:line="560"/>
        <w:ind w:firstLine="640"/>
        <w:rPr>
          <w:rStyle w:val="C3"/>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公共服务场所的公共停车场应当按照无障碍设施工程建设标准设置无障碍停车位，免费提供给肢体残疾人使用。</w:t>
      </w:r>
    </w:p>
    <w:p>
      <w:pPr>
        <w:pStyle w:val="P1"/>
        <w:spacing w:lineRule="atLeast" w:line="560"/>
        <w:ind w:firstLine="640"/>
        <w:rPr>
          <w:rStyle w:val="C3"/>
          <w:color w:val="000000"/>
          <w:sz w:val="32"/>
        </w:rPr>
      </w:pPr>
      <w:r>
        <w:rPr>
          <w:rStyle w:val="C3"/>
          <w:rFonts w:ascii="方正姚体" w:hAnsi="方正姚体"/>
          <w:color w:val="000000"/>
          <w:sz w:val="32"/>
        </w:rPr>
        <w:t>无障碍停车位为肢体残疾人驾驶或者乘坐的机动车专用，应当设立在方便肢体残疾人通行的位置，并设置显著标志标识。</w:t>
      </w:r>
    </w:p>
    <w:p>
      <w:pPr>
        <w:pStyle w:val="P1"/>
        <w:spacing w:lineRule="atLeast" w:line="560"/>
        <w:ind w:firstLine="640"/>
        <w:rPr>
          <w:rStyle w:val="C3"/>
          <w:color w:val="000000"/>
          <w:sz w:val="32"/>
        </w:rPr>
      </w:pPr>
      <w:r>
        <w:rPr>
          <w:rStyle w:val="C3"/>
          <w:rFonts w:ascii="方正姚体" w:hAnsi="方正姚体"/>
          <w:color w:val="000000"/>
          <w:sz w:val="32"/>
        </w:rPr>
        <w:t>第十六条</w:t>
      </w:r>
      <w:r>
        <w:rPr>
          <w:rStyle w:val="C3"/>
          <w:color w:val="000000"/>
          <w:sz w:val="32"/>
        </w:rPr>
        <w:t xml:space="preserve">  4</w:t>
      </w:r>
      <w:r>
        <w:rPr>
          <w:rStyle w:val="C3"/>
          <w:rFonts w:ascii="方正姚体" w:hAnsi="方正姚体"/>
          <w:color w:val="000000"/>
          <w:sz w:val="32"/>
        </w:rPr>
        <w:t>星级以上旅馆应当配置一定比例的无障碍客房。</w:t>
      </w:r>
    </w:p>
    <w:p>
      <w:pPr>
        <w:pStyle w:val="P1"/>
        <w:spacing w:lineRule="atLeast" w:line="560"/>
        <w:ind w:firstLine="640"/>
        <w:rPr>
          <w:rStyle w:val="C3"/>
          <w:color w:val="000000"/>
          <w:sz w:val="32"/>
        </w:rPr>
      </w:pPr>
      <w:r>
        <w:rPr>
          <w:rStyle w:val="C3"/>
          <w:rFonts w:ascii="方正姚体" w:hAnsi="方正姚体"/>
          <w:color w:val="000000"/>
          <w:sz w:val="32"/>
        </w:rPr>
        <w:t>鼓励其他有条件的旅馆配置无障碍客房，并作为旅馆评星评比的内容。</w:t>
      </w:r>
    </w:p>
    <w:p>
      <w:pPr>
        <w:pStyle w:val="P1"/>
        <w:spacing w:lineRule="atLeast" w:line="560"/>
        <w:ind w:firstLine="640"/>
        <w:rPr>
          <w:rStyle w:val="C3"/>
          <w:color w:val="000000"/>
          <w:sz w:val="32"/>
        </w:rPr>
      </w:pPr>
      <w:r>
        <w:rPr>
          <w:rStyle w:val="C3"/>
          <w:rFonts w:ascii="方正姚体" w:hAnsi="方正姚体"/>
          <w:color w:val="000000"/>
          <w:sz w:val="32"/>
        </w:rPr>
        <w:t>旅游景区的出入口、游客中心等应当设置无障碍通道。</w:t>
      </w:r>
    </w:p>
    <w:p>
      <w:pPr>
        <w:pStyle w:val="P1"/>
        <w:spacing w:lineRule="atLeast" w:line="560"/>
        <w:ind w:firstLine="640"/>
        <w:rPr>
          <w:rStyle w:val="C3"/>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方正姚体" w:hAnsi="方正姚体"/>
          <w:color w:val="000000"/>
          <w:sz w:val="32"/>
        </w:rPr>
        <w:t>机场、火车站、长途汽车站、客运码头、图书馆、博物馆等公共服务场所应当提供轮椅等无障碍设备，建立无障碍设施服务规范，为残疾人、老年人等社会成员提供便利。</w:t>
      </w:r>
    </w:p>
    <w:p>
      <w:pPr>
        <w:pStyle w:val="P1"/>
        <w:spacing w:lineRule="atLeast" w:line="560"/>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县级以上人民政府应当对需要进行居家无障碍改造的残疾人家庭及其他贫困家庭给予适当补助。</w:t>
      </w:r>
    </w:p>
    <w:p>
      <w:pPr>
        <w:pStyle w:val="P1"/>
        <w:spacing w:lineRule="atLeast" w:line="560"/>
        <w:ind w:firstLine="640"/>
        <w:rPr>
          <w:rStyle w:val="C3"/>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方正姚体" w:hAnsi="方正姚体"/>
          <w:color w:val="000000"/>
          <w:sz w:val="32"/>
        </w:rPr>
        <w:t>保障性住房项目应当配置一定数量的无障碍住房以满足残疾人、老年人等社会成员的需求。住房和城乡建设部门应当将无障碍住房信息在保障性住房选房清单中标示注明。</w:t>
      </w:r>
    </w:p>
    <w:p>
      <w:pPr>
        <w:pStyle w:val="P1"/>
        <w:spacing w:lineRule="atLeast" w:line="560"/>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县级以上人民政府及其有关部门、电视台、公共图书馆、残疾人组织等单位应当依法为视力、听力、言语障碍者提供语音、手语、字幕等无障碍信息服务。</w:t>
      </w:r>
    </w:p>
    <w:p>
      <w:pPr>
        <w:pStyle w:val="P1"/>
        <w:spacing w:lineRule="atLeast" w:line="560"/>
        <w:ind w:firstLine="640"/>
        <w:rPr>
          <w:rStyle w:val="C3"/>
          <w:color w:val="000000"/>
          <w:sz w:val="32"/>
        </w:rPr>
      </w:pPr>
      <w:r>
        <w:rPr>
          <w:rStyle w:val="C3"/>
          <w:rFonts w:ascii="方正姚体" w:hAnsi="方正姚体"/>
          <w:color w:val="000000"/>
          <w:sz w:val="32"/>
        </w:rPr>
        <w:t>公共服务机构应当推进涉及残疾人、老年人等社会成员的服务事项网上办理，对相关工作人员进行无障碍知识教育和必要的技能培训，并根据需要对残疾人、老年人等社会成员使用相关信息化服务给予指导和帮助。</w:t>
      </w:r>
    </w:p>
    <w:p>
      <w:pPr>
        <w:pStyle w:val="P1"/>
        <w:spacing w:lineRule="atLeast" w:line="560"/>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政府综合服务热线、报警、火警、医疗急救等公共服务系统应当具备文字信息报送、文字呼叫功能，方便听力、言语障碍者咨询、求助、建议、投诉、举报、报警、呼救等。</w:t>
      </w:r>
    </w:p>
    <w:p>
      <w:pPr>
        <w:pStyle w:val="P1"/>
        <w:spacing w:lineRule="atLeast" w:line="560"/>
        <w:ind w:firstLine="640"/>
        <w:rPr>
          <w:rStyle w:val="C3"/>
          <w:color w:val="000000"/>
          <w:sz w:val="32"/>
        </w:rPr>
      </w:pPr>
      <w:r>
        <w:rPr>
          <w:rStyle w:val="C3"/>
          <w:rFonts w:ascii="方正姚体" w:hAnsi="方正姚体"/>
          <w:color w:val="000000"/>
          <w:sz w:val="32"/>
        </w:rPr>
        <w:t>第二十二条</w:t>
      </w:r>
      <w:r>
        <w:rPr>
          <w:rStyle w:val="C3"/>
          <w:color w:val="000000"/>
          <w:sz w:val="32"/>
        </w:rPr>
        <w:t xml:space="preserve">  </w:t>
      </w:r>
      <w:r>
        <w:rPr>
          <w:rStyle w:val="C3"/>
          <w:rFonts w:ascii="方正姚体" w:hAnsi="方正姚体"/>
          <w:color w:val="000000"/>
          <w:sz w:val="32"/>
        </w:rPr>
        <w:t>无障碍设施的所有权人或者管理人应当在明显位置设置符合标准的无障碍标志标识，并及时对损毁、脱落的无障碍标志标识进行修复，确保无障碍标志标识正常使用。</w:t>
      </w:r>
    </w:p>
    <w:p>
      <w:pPr>
        <w:pStyle w:val="P1"/>
        <w:spacing w:lineRule="atLeast" w:line="560"/>
        <w:ind w:firstLine="640"/>
        <w:rPr>
          <w:rStyle w:val="C3"/>
          <w:color w:val="000000"/>
          <w:sz w:val="32"/>
        </w:rPr>
      </w:pPr>
      <w:r>
        <w:rPr>
          <w:rStyle w:val="C3"/>
          <w:rFonts w:ascii="方正姚体" w:hAnsi="方正姚体"/>
          <w:color w:val="000000"/>
          <w:sz w:val="32"/>
        </w:rPr>
        <w:t>第二十三条</w:t>
      </w:r>
      <w:r>
        <w:rPr>
          <w:rStyle w:val="C3"/>
          <w:color w:val="000000"/>
          <w:sz w:val="32"/>
        </w:rPr>
        <w:t xml:space="preserve">  </w:t>
      </w:r>
      <w:r>
        <w:rPr>
          <w:rStyle w:val="C3"/>
          <w:rFonts w:ascii="方正姚体" w:hAnsi="方正姚体"/>
          <w:color w:val="000000"/>
          <w:sz w:val="32"/>
        </w:rPr>
        <w:t>无障碍设施的所有权人或者管理人应当加强对无障碍设施的维护、管理，及时对损毁或者有故障的无障碍设施进行维修、改造，确保无障碍设施正常使用。</w:t>
      </w:r>
    </w:p>
    <w:p>
      <w:pPr>
        <w:pStyle w:val="P1"/>
        <w:spacing w:lineRule="atLeast" w:line="560"/>
        <w:ind w:firstLine="640"/>
        <w:rPr>
          <w:rStyle w:val="C3"/>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方正姚体" w:hAnsi="方正姚体"/>
          <w:color w:val="000000"/>
          <w:sz w:val="32"/>
        </w:rPr>
        <w:t>任何单位和个人都应当遵守无障碍设施的相关规定，不得破坏、侵占无障碍设施或者改变无障碍设施的用途。</w:t>
      </w:r>
    </w:p>
    <w:p>
      <w:pPr>
        <w:pStyle w:val="P1"/>
        <w:spacing w:lineRule="atLeast" w:line="560"/>
        <w:ind w:firstLine="640"/>
        <w:rPr>
          <w:rStyle w:val="C3"/>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rPr>
        <w:t>因城市建设、重大社会公益活动等原因需要临时占用城市道路的，应当避免占用盲道等无障碍设施。确需占用的，应当按照规定经有关部门批准，并设置护栏、警示标志或者信号设施，采取必要的替代措施。临时占用期满，应当及时恢复无障碍设施的使用功能。</w:t>
      </w:r>
    </w:p>
    <w:p>
      <w:pPr>
        <w:pStyle w:val="P1"/>
        <w:spacing w:lineRule="atLeast" w:line="560"/>
        <w:ind w:firstLine="640"/>
        <w:rPr>
          <w:rStyle w:val="C3"/>
          <w:color w:val="000000"/>
          <w:sz w:val="32"/>
        </w:rPr>
      </w:pPr>
      <w:r>
        <w:rPr>
          <w:rStyle w:val="C3"/>
          <w:rFonts w:ascii="方正姚体" w:hAnsi="方正姚体"/>
          <w:color w:val="000000"/>
          <w:sz w:val="32"/>
        </w:rPr>
        <w:t>第二十六条</w:t>
      </w:r>
      <w:r>
        <w:rPr>
          <w:rStyle w:val="C3"/>
          <w:color w:val="000000"/>
          <w:sz w:val="32"/>
        </w:rPr>
        <w:t xml:space="preserve">  </w:t>
      </w:r>
      <w:r>
        <w:rPr>
          <w:rStyle w:val="C3"/>
          <w:rFonts w:ascii="方正姚体" w:hAnsi="方正姚体"/>
          <w:color w:val="000000"/>
          <w:sz w:val="32"/>
        </w:rPr>
        <w:t>残疾人、老年人等社会成员可以对无障碍环境建设管理情况，向有关部门提出意见和建议，有关部门应当按照规定时限办理和答复。</w:t>
      </w:r>
    </w:p>
    <w:p>
      <w:pPr>
        <w:pStyle w:val="P1"/>
        <w:spacing w:lineRule="atLeast" w:line="560"/>
        <w:ind w:firstLine="640"/>
        <w:rPr>
          <w:rStyle w:val="C3"/>
          <w:color w:val="000000"/>
          <w:sz w:val="32"/>
        </w:rPr>
      </w:pPr>
      <w:r>
        <w:rPr>
          <w:rStyle w:val="C3"/>
          <w:rFonts w:ascii="方正姚体" w:hAnsi="方正姚体"/>
          <w:color w:val="000000"/>
          <w:sz w:val="32"/>
        </w:rPr>
        <w:t>残疾人联合会、老龄工作机构等可以组织残疾人、老年人等代表对本行政区域内的无障碍环境建设情况开展调查评估，并将不符合无障碍设施工程建设标准的道路、公共建筑、公共交通设施等报告当地人民政府。接到报告的人民政府应当督促相关部门及时处理。</w:t>
      </w:r>
    </w:p>
    <w:p>
      <w:pPr>
        <w:pStyle w:val="P1"/>
        <w:spacing w:lineRule="atLeast" w:line="560"/>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方正姚体" w:hAnsi="方正姚体"/>
          <w:color w:val="000000"/>
          <w:sz w:val="32"/>
        </w:rPr>
        <w:t>违反本条例第九条第一款规定，新建、改建、扩建的道路、公共建筑、公共交通设施、居住区等以及城镇的居住建筑不符合无障碍设施工程建设标准的，由住房和城乡建设部门责令限期改正；逾期未改正的，按照建设工程管理相关规定依法给予处罚。</w:t>
      </w:r>
    </w:p>
    <w:p>
      <w:pPr>
        <w:pStyle w:val="P1"/>
        <w:spacing w:lineRule="atLeast" w:line="560"/>
        <w:ind w:firstLine="640"/>
        <w:rPr>
          <w:rStyle w:val="C3"/>
          <w:color w:val="000000"/>
          <w:sz w:val="32"/>
        </w:rPr>
      </w:pPr>
      <w:r>
        <w:rPr>
          <w:rStyle w:val="C3"/>
          <w:rFonts w:ascii="方正姚体" w:hAnsi="方正姚体"/>
          <w:color w:val="000000"/>
          <w:sz w:val="32"/>
        </w:rPr>
        <w:t>第二十八条</w:t>
      </w:r>
      <w:r>
        <w:rPr>
          <w:rStyle w:val="C3"/>
          <w:color w:val="000000"/>
          <w:sz w:val="32"/>
        </w:rPr>
        <w:t xml:space="preserve">  </w:t>
      </w:r>
      <w:r>
        <w:rPr>
          <w:rStyle w:val="C3"/>
          <w:rFonts w:ascii="方正姚体" w:hAnsi="方正姚体"/>
          <w:color w:val="000000"/>
          <w:sz w:val="32"/>
        </w:rPr>
        <w:t>违反本条例第十五条规定，肢体残疾人驾驶或者乘坐的机动车以外的机动车占用公共停车场无障碍停车位，影响肢体残疾人使用的，县级以上人民政府公安机关交通管理部门可以指出违法行为，并予以口头警告，令其立即驶离。</w:t>
      </w:r>
    </w:p>
    <w:p>
      <w:pPr>
        <w:pStyle w:val="P1"/>
        <w:spacing w:lineRule="atLeast" w:line="560"/>
        <w:ind w:firstLine="640"/>
        <w:rPr>
          <w:rStyle w:val="C3"/>
          <w:color w:val="000000"/>
          <w:sz w:val="32"/>
        </w:rPr>
      </w:pPr>
      <w:r>
        <w:rPr>
          <w:rStyle w:val="C3"/>
          <w:rFonts w:ascii="方正姚体" w:hAnsi="方正姚体"/>
          <w:color w:val="000000"/>
          <w:sz w:val="32"/>
        </w:rPr>
        <w:t>机动车驾驶人不在现场或者虽在现场但拒绝立即驶离的，处一百元罚款，并可以将该机动车拖移至不妨碍交通的地点或者公安机关交通管理部门指定的地点停放。</w:t>
      </w:r>
    </w:p>
    <w:p>
      <w:pPr>
        <w:pStyle w:val="P1"/>
        <w:spacing w:lineRule="atLeast" w:line="560"/>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违反本条例第十六条第一款规定，</w:t>
      </w:r>
      <w:r>
        <w:rPr>
          <w:rStyle w:val="C3"/>
          <w:color w:val="000000"/>
          <w:sz w:val="32"/>
        </w:rPr>
        <w:t>4</w:t>
      </w:r>
      <w:r>
        <w:rPr>
          <w:rStyle w:val="C3"/>
          <w:rFonts w:ascii="方正姚体" w:hAnsi="方正姚体"/>
          <w:color w:val="000000"/>
          <w:sz w:val="32"/>
        </w:rPr>
        <w:t>星级以上旅馆未配置无障碍客房的，由旅游和文化广电体育部门予以警告，并责令限期改正；逾期不改正的，处两千元以上一万元以下的罚款。</w:t>
      </w:r>
    </w:p>
    <w:p>
      <w:pPr>
        <w:pStyle w:val="P1"/>
        <w:spacing w:lineRule="atLeast" w:line="560"/>
        <w:ind w:firstLine="640"/>
        <w:rPr>
          <w:rStyle w:val="C3"/>
          <w:color w:val="000000"/>
          <w:sz w:val="32"/>
        </w:rPr>
      </w:pPr>
      <w:r>
        <w:rPr>
          <w:rStyle w:val="C3"/>
          <w:rFonts w:ascii="方正姚体" w:hAnsi="方正姚体"/>
          <w:color w:val="000000"/>
          <w:sz w:val="32"/>
        </w:rPr>
        <w:t>违反本条例第十六条第三款规定，旅游景区的出入口、游客中心等未设置无障碍通道的，由旅游和文化广电体育部门或者有关部门予以警告，并责令限期改正；逾期不改正的，处两千元以上一万元以下的罚款。</w:t>
      </w:r>
    </w:p>
    <w:p>
      <w:pPr>
        <w:pStyle w:val="P1"/>
        <w:spacing w:lineRule="atLeast" w:line="560"/>
        <w:ind w:firstLine="640"/>
        <w:rPr>
          <w:rStyle w:val="C3"/>
          <w:color w:val="000000"/>
          <w:sz w:val="32"/>
        </w:rPr>
      </w:pPr>
      <w:r>
        <w:rPr>
          <w:rStyle w:val="C3"/>
          <w:rFonts w:ascii="方正姚体" w:hAnsi="方正姚体"/>
          <w:color w:val="000000"/>
          <w:sz w:val="32"/>
        </w:rPr>
        <w:t>第三十条</w:t>
      </w:r>
      <w:r>
        <w:rPr>
          <w:rStyle w:val="C3"/>
          <w:color w:val="000000"/>
          <w:sz w:val="32"/>
        </w:rPr>
        <w:t xml:space="preserve">  </w:t>
      </w:r>
      <w:r>
        <w:rPr>
          <w:rStyle w:val="C3"/>
          <w:rFonts w:ascii="方正姚体" w:hAnsi="方正姚体"/>
          <w:color w:val="000000"/>
          <w:sz w:val="32"/>
        </w:rPr>
        <w:t>违反本条例第二十二条规定，无障碍设施的所有权人或者管理人未设置符合标准的无障碍标志标识，或者未及时对损毁、脱落的无障碍标志标识进行修复，导致无法正常使用的，由有关主管部门责令限期改正；逾期不改正的，由有关主管部门给予一千元以上一万元以下罚款。</w:t>
      </w:r>
    </w:p>
    <w:p>
      <w:pPr>
        <w:pStyle w:val="P1"/>
        <w:spacing w:lineRule="atLeast" w:line="560"/>
        <w:ind w:firstLine="640"/>
        <w:rPr>
          <w:rStyle w:val="C3"/>
          <w:color w:val="000000"/>
          <w:sz w:val="32"/>
        </w:rPr>
      </w:pPr>
      <w:r>
        <w:rPr>
          <w:rStyle w:val="C3"/>
          <w:rFonts w:ascii="方正姚体" w:hAnsi="方正姚体"/>
          <w:color w:val="000000"/>
          <w:sz w:val="32"/>
        </w:rPr>
        <w:t>第三十一条</w:t>
      </w:r>
      <w:r>
        <w:rPr>
          <w:rStyle w:val="C3"/>
          <w:color w:val="000000"/>
          <w:sz w:val="32"/>
        </w:rPr>
        <w:t xml:space="preserve">  </w:t>
      </w:r>
      <w:r>
        <w:rPr>
          <w:rStyle w:val="C3"/>
          <w:rFonts w:ascii="方正姚体" w:hAnsi="方正姚体"/>
          <w:color w:val="000000"/>
          <w:sz w:val="32"/>
        </w:rPr>
        <w:t>违反本条例第二十四条规定，破坏、侵占无障碍设施或者改变无障碍设施用途的，由有关部门责令限期改正，赔偿损失，并可以对个人处五百元以上一千元以下罚款，对单位处三千元以上三万元以下罚款；构成治安管理处罚的，由公安机关依照《中华人民共和国治安管理处罚法》处罚；构成犯罪的，依法追究刑事责任。</w:t>
      </w:r>
    </w:p>
    <w:p>
      <w:pPr>
        <w:pStyle w:val="P1"/>
        <w:spacing w:lineRule="atLeast" w:line="560"/>
        <w:ind w:firstLine="640"/>
        <w:rPr>
          <w:rStyle w:val="C3"/>
          <w:color w:val="000000"/>
          <w:sz w:val="32"/>
        </w:rPr>
      </w:pPr>
      <w:r>
        <w:rPr>
          <w:rStyle w:val="C3"/>
          <w:rFonts w:ascii="方正姚体" w:hAnsi="方正姚体"/>
          <w:color w:val="000000"/>
          <w:sz w:val="32"/>
          <w:shd w:val="clear" w:color="auto" w:fill="FFFFFF"/>
        </w:rPr>
        <w:t>第</w:t>
      </w:r>
      <w:r>
        <w:rPr>
          <w:rStyle w:val="C3"/>
          <w:rFonts w:ascii="方正姚体" w:hAnsi="方正姚体"/>
          <w:color w:val="000000"/>
          <w:sz w:val="32"/>
        </w:rPr>
        <w:t>三十二</w:t>
      </w:r>
      <w:r>
        <w:rPr>
          <w:rStyle w:val="C3"/>
          <w:rFonts w:ascii="方正姚体" w:hAnsi="方正姚体"/>
          <w:color w:val="000000"/>
          <w:sz w:val="32"/>
          <w:shd w:val="clear" w:color="auto" w:fill="FFFFFF"/>
        </w:rPr>
        <w:t>条</w:t>
      </w:r>
      <w:r>
        <w:rPr>
          <w:rStyle w:val="C3"/>
          <w:color w:val="000000"/>
          <w:sz w:val="32"/>
          <w:shd w:val="clear" w:color="auto" w:fill="FFFFFF"/>
        </w:rPr>
        <w:t xml:space="preserve">  </w:t>
      </w:r>
      <w:r>
        <w:rPr>
          <w:rStyle w:val="C3"/>
          <w:rFonts w:ascii="方正姚体" w:hAnsi="方正姚体"/>
          <w:color w:val="000000"/>
          <w:sz w:val="32"/>
        </w:rPr>
        <w:t>有本条例规定的违法行为的，依照有关规定记入信用档案，予以公示，并依照有关规定实施信用联合惩戒。</w:t>
      </w:r>
    </w:p>
    <w:p>
      <w:pPr>
        <w:pStyle w:val="P1"/>
        <w:spacing w:lineRule="atLeast" w:line="560"/>
        <w:ind w:firstLine="640"/>
        <w:rPr>
          <w:rStyle w:val="C3"/>
          <w:color w:val="000000"/>
          <w:sz w:val="32"/>
        </w:rPr>
      </w:pPr>
      <w:r>
        <w:rPr>
          <w:rStyle w:val="C3"/>
          <w:rFonts w:ascii="方正姚体" w:hAnsi="方正姚体"/>
          <w:color w:val="000000"/>
          <w:sz w:val="32"/>
          <w:shd w:val="clear" w:color="auto" w:fill="FFFFFF"/>
        </w:rPr>
        <w:t>第</w:t>
      </w:r>
      <w:r>
        <w:rPr>
          <w:rStyle w:val="C3"/>
          <w:rFonts w:ascii="方正姚体" w:hAnsi="方正姚体"/>
          <w:color w:val="000000"/>
          <w:sz w:val="32"/>
        </w:rPr>
        <w:t>三十三</w:t>
      </w:r>
      <w:r>
        <w:rPr>
          <w:rStyle w:val="C3"/>
          <w:rFonts w:ascii="方正姚体" w:hAnsi="方正姚体"/>
          <w:color w:val="000000"/>
          <w:sz w:val="32"/>
          <w:shd w:val="clear" w:color="auto" w:fill="FFFFFF"/>
        </w:rPr>
        <w:t>条</w:t>
      </w:r>
      <w:r>
        <w:rPr>
          <w:rStyle w:val="C3"/>
          <w:color w:val="000000"/>
          <w:sz w:val="32"/>
          <w:shd w:val="clear" w:color="auto" w:fill="FFFFFF"/>
        </w:rPr>
        <w:t xml:space="preserve">  </w:t>
      </w:r>
      <w:r>
        <w:rPr>
          <w:rStyle w:val="C3"/>
          <w:rFonts w:ascii="方正姚体" w:hAnsi="方正姚体"/>
          <w:color w:val="000000"/>
          <w:sz w:val="32"/>
        </w:rPr>
        <w:t>本条例规定的违法行为，根据国务院相对集中行政处罚权的规定已经确定集中由市、县、自治县综合执法部门处理的，从其规定。</w:t>
      </w:r>
    </w:p>
    <w:p>
      <w:pPr>
        <w:pStyle w:val="P1"/>
        <w:spacing w:lineRule="atLeast" w:line="560"/>
        <w:ind w:firstLine="640"/>
        <w:rPr>
          <w:rStyle w:val="C3"/>
          <w:color w:val="000000"/>
          <w:sz w:val="32"/>
        </w:rPr>
      </w:pPr>
      <w:r>
        <w:rPr>
          <w:rStyle w:val="C3"/>
          <w:rFonts w:ascii="方正姚体" w:hAnsi="方正姚体"/>
          <w:color w:val="000000"/>
          <w:sz w:val="32"/>
        </w:rPr>
        <w:t>第三十四条</w:t>
      </w:r>
      <w:r>
        <w:rPr>
          <w:rStyle w:val="C3"/>
          <w:color w:val="000000"/>
          <w:sz w:val="32"/>
        </w:rPr>
        <w:t xml:space="preserve">  </w:t>
      </w:r>
      <w:r>
        <w:rPr>
          <w:rStyle w:val="C3"/>
          <w:rFonts w:ascii="方正姚体" w:hAnsi="方正姚体"/>
          <w:color w:val="000000"/>
          <w:sz w:val="32"/>
        </w:rPr>
        <w:t>违反本条例规定的行为，本条例未设定处罚，相关法律法规已设定处罚的，从其规定。</w:t>
      </w:r>
    </w:p>
    <w:p>
      <w:pPr>
        <w:pStyle w:val="P1"/>
        <w:spacing w:lineRule="atLeast" w:line="560"/>
        <w:ind w:firstLine="640"/>
        <w:rPr>
          <w:rStyle w:val="C3"/>
          <w:color w:val="000000"/>
          <w:sz w:val="32"/>
        </w:rPr>
      </w:pPr>
      <w:r>
        <w:rPr>
          <w:rStyle w:val="C3"/>
          <w:rFonts w:ascii="方正姚体" w:hAnsi="方正姚体"/>
          <w:color w:val="000000"/>
          <w:sz w:val="32"/>
        </w:rPr>
        <w:t>第三十五条</w:t>
      </w:r>
      <w:r>
        <w:rPr>
          <w:rStyle w:val="C3"/>
          <w:color w:val="000000"/>
          <w:sz w:val="32"/>
        </w:rPr>
        <w:t xml:space="preserve">  </w:t>
      </w:r>
      <w:r>
        <w:rPr>
          <w:rStyle w:val="C3"/>
          <w:rFonts w:ascii="方正姚体" w:hAnsi="方正姚体"/>
          <w:color w:val="000000"/>
          <w:sz w:val="32"/>
        </w:rPr>
        <w:t>无障碍环境建设管理相关部门的工作人员滥用职权、玩忽职守、徇私舞弊的，依法给予处分；构成犯罪的，移交司法机关依法处理。</w:t>
      </w:r>
    </w:p>
    <w:p>
      <w:pPr>
        <w:pStyle w:val="P1"/>
        <w:spacing w:lineRule="atLeast" w:line="560"/>
        <w:ind w:firstLine="640"/>
        <w:rPr>
          <w:rStyle w:val="C3"/>
          <w:color w:val="000000"/>
          <w:sz w:val="32"/>
        </w:rPr>
      </w:pPr>
      <w:r>
        <w:rPr>
          <w:rStyle w:val="C3"/>
          <w:rFonts w:ascii="方正姚体" w:hAnsi="方正姚体"/>
          <w:color w:val="000000"/>
          <w:sz w:val="32"/>
        </w:rPr>
        <w:t>第三十六条</w:t>
      </w:r>
      <w:r>
        <w:rPr>
          <w:rStyle w:val="C3"/>
          <w:color w:val="000000"/>
          <w:sz w:val="32"/>
        </w:rPr>
        <w:t xml:space="preserve">  </w:t>
      </w:r>
      <w:r>
        <w:rPr>
          <w:rStyle w:val="C3"/>
          <w:rFonts w:ascii="方正姚体" w:hAnsi="方正姚体"/>
          <w:color w:val="000000"/>
          <w:sz w:val="32"/>
        </w:rPr>
        <w:t>本条例自</w:t>
      </w:r>
      <w:r>
        <w:rPr>
          <w:rStyle w:val="C3"/>
          <w:color w:val="000000"/>
          <w:sz w:val="32"/>
        </w:rPr>
        <w:t>2020</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spacing w:lineRule="exact" w:line="560"/>
        <w:rPr>
          <w:rStyle w:val="C3"/>
          <w:color w:val="000000"/>
          <w:sz w:val="32"/>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46" w:right="1446" w:top="1928" w:bottom="1644" w:header="0" w:footer="124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6"/>
        <w:sz w:val="21"/>
      </w:rPr>
    </w:pPr>
    <w:r>
      <w:fldChar w:fldCharType="begin"/>
    </w:r>
    <w:r>
      <w:rPr>
        <w:rStyle w:val="C16"/>
        <w:sz w:val="21"/>
      </w:rPr>
      <w:instrText xml:space="preserve">PAGE  </w:instrText>
    </w:r>
    <w:r>
      <w:rPr>
        <w:rStyle w:val="C16"/>
        <w:sz w:val="21"/>
      </w:rPr>
      <w:fldChar w:fldCharType="separate"/>
    </w:r>
    <w:r>
      <w:rPr>
        <w:rStyle w:val="C16"/>
        <w:sz w:val="21"/>
      </w:rPr>
      <w:t>#</w:t>
    </w:r>
    <w:r>
      <w:rPr>
        <w:rStyle w:val="C16"/>
        <w:sz w:val="21"/>
      </w:rPr>
      <w:fldChar w:fldCharType="end"/>
    </w:r>
  </w:p>
  <w:p>
    <w:pPr>
      <w:pStyle w:val="P11"/>
      <w:tabs>
        <w:tab w:val="center" w:pos="4153" w:leader="none"/>
        <w:tab w:val="right" w:pos="8306" w:leader="none"/>
      </w:tabs>
      <w:ind w:firstLine="360" w:right="360"/>
      <w:jc w:val="center"/>
      <w:rPr>
        <w:rStyle w:val="C16"/>
      </w:rPr>
    </w:pPr>
  </w:p>
  <w:p>
    <w:pPr>
      <w:pStyle w:val="P11"/>
      <w:tabs>
        <w:tab w:val="center" w:pos="4153" w:leader="none"/>
        <w:tab w:val="right" w:pos="8306" w:leader="none"/>
      </w:tabs>
      <w:ind w:right="360"/>
      <w:rPr>
        <w:rStyle w:val="C1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6"/>
      </w:rPr>
    </w:pPr>
    <w:r>
      <w:fldChar w:fldCharType="begin"/>
    </w:r>
    <w:r>
      <w:rPr>
        <w:rStyle w:val="C16"/>
      </w:rPr>
      <w:instrText xml:space="preserve">PAGE  </w:instrText>
    </w:r>
    <w:r>
      <w:rPr>
        <w:rStyle w:val="C16"/>
      </w:rPr>
      <w:fldChar w:fldCharType="separate"/>
    </w:r>
    <w:r>
      <w:rPr>
        <w:rStyle w:val="C16"/>
      </w:rPr>
      <w:t>#</w:t>
    </w:r>
    <w:r>
      <w:rPr>
        <w:rStyle w:val="C16"/>
      </w:rPr>
      <w:fldChar w:fldCharType="end"/>
    </w:r>
  </w:p>
  <w:p>
    <w:pPr>
      <w:pStyle w:val="P11"/>
      <w:tabs>
        <w:tab w:val="center" w:pos="4153" w:leader="none"/>
        <w:tab w:val="right" w:pos="8306" w:leader="none"/>
      </w:tabs>
      <w:ind w:firstLine="360" w:right="360"/>
      <w:rPr>
        <w:rStyle w:val="C1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Default"/>
    <w:next w:val="P2"/>
    <w:pPr>
      <w:widowControl w:val="0"/>
    </w:pPr>
    <w:rPr>
      <w:rFonts w:ascii="MS Mincho" w:hAnsi="MS Mincho"/>
      <w:color w:val="000000"/>
      <w:sz w:val="24"/>
    </w:rPr>
  </w:style>
  <w:style w:type="paragraph" w:styleId="P3">
    <w:name w:val="标题 1"/>
    <w:basedOn w:val="P1"/>
    <w:next w:val="P1"/>
    <w:qFormat/>
    <w:pPr>
      <w:keepNext w:val="1"/>
      <w:keepLines w:val="1"/>
      <w:spacing w:lineRule="auto" w:line="576" w:before="340" w:after="330"/>
      <w:outlineLvl w:val="0"/>
    </w:pPr>
    <w:rPr>
      <w:b w:val="1"/>
      <w:sz w:val="44"/>
    </w:rPr>
  </w:style>
  <w:style w:type="paragraph" w:styleId="P4">
    <w:name w:val="标题 2"/>
    <w:basedOn w:val="P1"/>
    <w:next w:val="P1"/>
    <w:qFormat/>
    <w:pPr>
      <w:keepNext w:val="1"/>
      <w:keepLines w:val="1"/>
      <w:spacing w:lineRule="auto" w:line="413" w:before="260" w:after="260"/>
      <w:outlineLvl w:val="1"/>
    </w:pPr>
    <w:rPr>
      <w:rFonts w:ascii="Cambria" w:hAnsi="Cambria"/>
      <w:b w:val="1"/>
      <w:sz w:val="32"/>
    </w:rPr>
  </w:style>
  <w:style w:type="paragraph" w:styleId="P5">
    <w:name w:val="标题 3"/>
    <w:basedOn w:val="P1"/>
    <w:next w:val="P1"/>
    <w:qFormat/>
    <w:pPr>
      <w:spacing w:before="100" w:after="100" w:beforeAutospacing="1" w:afterAutospacing="1"/>
      <w:jc w:val="left"/>
      <w:outlineLvl w:val="2"/>
    </w:pPr>
    <w:rPr>
      <w:rFonts w:ascii="宋体" w:hAnsi="宋体"/>
      <w:b w:val="1"/>
      <w:sz w:val="27"/>
    </w:rPr>
  </w:style>
  <w:style w:type="paragraph" w:styleId="P6">
    <w:name w:val="Char"/>
    <w:basedOn w:val="P1"/>
    <w:next w:val="P6"/>
    <w:pPr>
      <w:tabs>
        <w:tab w:val="left" w:pos="360" w:leader="none"/>
      </w:tabs>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List Paragraph"/>
    <w:basedOn w:val="P1"/>
    <w:next w:val="P9"/>
    <w:pPr>
      <w:ind w:firstLine="420"/>
    </w:pPr>
    <w:rPr/>
  </w:style>
  <w:style w:type="paragraph" w:styleId="P10">
    <w:name w:val="批注框文本"/>
    <w:basedOn w:val="P1"/>
    <w:next w:val="P10"/>
    <w:pPr/>
    <w:rPr>
      <w:sz w:val="18"/>
    </w:rPr>
  </w:style>
  <w:style w:type="paragraph" w:styleId="P11">
    <w:name w:val="页脚"/>
    <w:basedOn w:val="P1"/>
    <w:next w:val="P11"/>
    <w:link w:val="C10"/>
    <w:pPr>
      <w:tabs>
        <w:tab w:val="center" w:pos="4153" w:leader="none"/>
        <w:tab w:val="right" w:pos="8306" w:leader="none"/>
      </w:tabs>
      <w:jc w:val="left"/>
    </w:pPr>
    <w:rPr>
      <w:sz w:val="18"/>
    </w:rPr>
  </w:style>
  <w:style w:type="paragraph" w:styleId="P12">
    <w:name w:val="正文文本"/>
    <w:basedOn w:val="P1"/>
    <w:next w:val="P12"/>
    <w:pPr>
      <w:spacing w:after="120"/>
    </w:pPr>
    <w:rPr>
      <w:sz w:val="21"/>
    </w:rPr>
  </w:style>
  <w:style w:type="paragraph" w:styleId="P13">
    <w:name w:val="Char Char Char Char Char Char Char"/>
    <w:basedOn w:val="P1"/>
    <w:next w:val="P13"/>
    <w:link w:val="C3"/>
    <w:pPr/>
    <w:rPr/>
  </w:style>
  <w:style w:type="paragraph" w:styleId="P14">
    <w:name w:val="p0"/>
    <w:basedOn w:val="P1"/>
    <w:next w:val="P14"/>
    <w:pPr/>
    <w:rPr/>
  </w:style>
  <w:style w:type="paragraph" w:styleId="P15">
    <w:name w:val=" Char Char1 Char Char Char Char"/>
    <w:basedOn w:val="P1"/>
    <w:next w:val="P15"/>
    <w:pPr>
      <w:spacing w:lineRule="auto" w:line="360"/>
      <w:ind w:firstLine="200"/>
    </w:pPr>
    <w:rPr/>
  </w:style>
  <w:style w:type="paragraph" w:styleId="P16">
    <w:name w:val="Normal (Web)"/>
    <w:basedOn w:val="P1"/>
    <w:next w:val="P16"/>
    <w:pPr>
      <w:widowControl w:val="1"/>
      <w:spacing w:before="100" w:after="100" w:beforeAutospacing="1" w:afterAutospacing="1"/>
      <w:jc w:val="left"/>
    </w:pPr>
    <w:rPr>
      <w:rFonts w:ascii="宋体" w:hAnsi="宋体"/>
      <w:sz w:val="24"/>
    </w:rPr>
  </w:style>
  <w:style w:type="paragraph" w:styleId="P17">
    <w:name w:val="普通(网站)1"/>
    <w:basedOn w:val="P1"/>
    <w:next w:val="P1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17"/>
    <w:rPr>
      <w:rFonts w:ascii="仿宋" w:hAnsi="仿宋"/>
      <w:i w:val="0"/>
      <w:color w:val="000000"/>
      <w:sz w:val="24"/>
    </w:rPr>
  </w:style>
  <w:style w:type="character" w:styleId="C5">
    <w:name w:val="22"/>
    <w:rPr>
      <w:rFonts w:ascii="仿宋" w:hAnsi="仿宋"/>
      <w:i w:val="0"/>
      <w:color w:val="333333"/>
      <w:sz w:val="24"/>
    </w:rPr>
  </w:style>
  <w:style w:type="character" w:styleId="C6">
    <w:name w:val="19"/>
    <w:rPr>
      <w:rFonts w:ascii="黑体" w:hAnsi="黑体"/>
      <w:b w:val="1"/>
      <w:i w:val="0"/>
      <w:color w:val="333333"/>
      <w:sz w:val="24"/>
    </w:rPr>
  </w:style>
  <w:style w:type="character" w:styleId="C7">
    <w:name w:val="26"/>
    <w:rPr>
      <w:rFonts w:ascii="仿宋" w:hAnsi="仿宋"/>
      <w:i w:val="0"/>
      <w:color w:val="000000"/>
      <w:sz w:val="24"/>
    </w:rPr>
  </w:style>
  <w:style w:type="character" w:styleId="C8">
    <w:name w:val="16"/>
    <w:rPr>
      <w:rFonts w:ascii="仿宋" w:hAnsi="仿宋"/>
      <w:b w:val="1"/>
      <w:i w:val="0"/>
      <w:color w:val="333333"/>
      <w:sz w:val="24"/>
    </w:rPr>
  </w:style>
  <w:style w:type="character" w:styleId="C9">
    <w:name w:val="要点"/>
    <w:qFormat/>
    <w:rPr>
      <w:b w:val="1"/>
    </w:rPr>
  </w:style>
  <w:style w:type="character" w:styleId="C10">
    <w:name w:val="页脚 Char"/>
    <w:link w:val="P11"/>
    <w:rPr>
      <w:sz w:val="18"/>
    </w:rPr>
  </w:style>
  <w:style w:type="character" w:styleId="C11">
    <w:name w:val="23"/>
    <w:rPr>
      <w:rFonts w:ascii="黑体" w:hAnsi="黑体"/>
      <w:b w:val="1"/>
      <w:i w:val="0"/>
      <w:color w:val="000000"/>
      <w:sz w:val="24"/>
    </w:rPr>
  </w:style>
  <w:style w:type="character" w:styleId="C12">
    <w:name w:val="20"/>
    <w:rPr>
      <w:rFonts w:ascii="黑体" w:hAnsi="黑体"/>
      <w:b w:val="1"/>
      <w:i w:val="0"/>
      <w:color w:val="000000"/>
      <w:sz w:val="24"/>
    </w:rPr>
  </w:style>
  <w:style w:type="character" w:styleId="C13">
    <w:name w:val="24"/>
    <w:rPr>
      <w:rFonts w:ascii="黑体" w:hAnsi="黑体"/>
      <w:i w:val="0"/>
      <w:color w:val="333333"/>
      <w:sz w:val="24"/>
    </w:rPr>
  </w:style>
  <w:style w:type="character" w:styleId="C14">
    <w:name w:val="page number"/>
    <w:rPr/>
  </w:style>
  <w:style w:type="character" w:styleId="C15">
    <w:name w:val="21"/>
    <w:rPr>
      <w:rFonts w:ascii="仿宋" w:hAnsi="仿宋"/>
      <w:i w:val="0"/>
      <w:color w:val="333333"/>
      <w:sz w:val="24"/>
    </w:rPr>
  </w:style>
  <w:style w:type="character" w:styleId="C16">
    <w:name w:val="页码"/>
    <w:basedOn w:val="C3"/>
    <w:rPr/>
  </w:style>
  <w:style w:type="character" w:styleId="C1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2006-09-18T11:26:00Z</dcterms:created>
  <cp:lastModifiedBy>f1TZOF\f1TZOF-</cp:lastModifiedBy>
  <cp:lastPrinted>2020-04-02T04:16:00Z</cp:lastPrinted>
  <dcterms:modified xsi:type="dcterms:W3CDTF">2024-08-28T01:35:35Z</dcterms:modified>
  <cp:revision>2</cp:revision>
  <dc:title>海南省人民政府关于提请审议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