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07C1AFC" Type="http://schemas.openxmlformats.org/officeDocument/2006/relationships/officeDocument" Target="/word/document.xml" /><Relationship Id="coreR407C1AFC" Type="http://schemas.openxmlformats.org/package/2006/relationships/metadata/core-properties" Target="/docProps/core.xml" /><Relationship Id="customR407C1AF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太原市中小学校幼儿园规划建设条例</w:t>
      </w:r>
    </w:p>
    <w:p>
      <w:pPr>
        <w:pStyle w:val="P1"/>
        <w:spacing w:lineRule="exact" w:line="578"/>
        <w:ind w:firstLine="640"/>
        <w:rPr>
          <w:rStyle w:val="C3"/>
          <w:rFonts w:ascii="仿宋_GB2312" w:hAnsi="仿宋_GB2312"/>
          <w:sz w:val="32"/>
        </w:rPr>
      </w:pPr>
      <w:r>
        <w:rPr>
          <w:rStyle w:val="C3"/>
          <w:rFonts w:ascii="Microsoft YaHei UI" w:hAnsi="Microsoft YaHei UI"/>
          <w:sz w:val="32"/>
        </w:rPr>
        <w:t>　　</w:t>
      </w:r>
    </w:p>
    <w:p>
      <w:pPr>
        <w:pStyle w:val="P1"/>
        <w:spacing w:lineRule="exact" w:line="578"/>
        <w:ind w:left="630" w:right="630"/>
        <w:rPr>
          <w:rStyle w:val="C3"/>
          <w:rFonts w:ascii="楷体_GB2312" w:hAnsi="楷体_GB2312"/>
          <w:sz w:val="32"/>
        </w:rPr>
      </w:pP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日太原市第十三届人民代表大会常务委员会第四十三次会议通过　</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10</w:t>
      </w:r>
      <w:r>
        <w:rPr>
          <w:rStyle w:val="C3"/>
          <w:rFonts w:ascii="Microsoft YaHei UI" w:hAnsi="Microsoft YaHei UI"/>
          <w:sz w:val="32"/>
        </w:rPr>
        <w:t>日山西省第十二届人民代表大会常务委员会第三十次会议批准</w:t>
      </w:r>
      <w:r>
        <w:rPr>
          <w:rStyle w:val="C3"/>
          <w:rFonts w:ascii="楷体_GB2312" w:hAnsi="楷体_GB2312"/>
          <w:sz w:val="32"/>
        </w:rPr>
        <w:t>)</w:t>
      </w:r>
    </w:p>
    <w:p>
      <w:pPr>
        <w:pStyle w:val="P1"/>
        <w:spacing w:lineRule="exact" w:line="578"/>
        <w:ind w:firstLine="640"/>
        <w:rPr>
          <w:rStyle w:val="C3"/>
          <w:rFonts w:ascii="仿宋_GB2312" w:hAnsi="仿宋_GB2312"/>
          <w:sz w:val="32"/>
        </w:rPr>
      </w:pPr>
    </w:p>
    <w:p>
      <w:pPr>
        <w:pStyle w:val="P1"/>
        <w:spacing w:lineRule="exact" w:line="578"/>
        <w:ind w:left="420" w:right="420"/>
        <w:jc w:val="center"/>
        <w:rPr>
          <w:rStyle w:val="C3"/>
          <w:rFonts w:ascii="楷体_GB2312" w:hAnsi="楷体_GB2312"/>
          <w:sz w:val="32"/>
        </w:rPr>
      </w:pPr>
      <w:r>
        <w:rPr>
          <w:rStyle w:val="C3"/>
          <w:rFonts w:ascii="Microsoft YaHei UI" w:hAnsi="Microsoft YaHei UI"/>
          <w:sz w:val="32"/>
        </w:rPr>
        <w:t>目　　录</w:t>
      </w:r>
    </w:p>
    <w:p>
      <w:pPr>
        <w:pStyle w:val="P1"/>
        <w:spacing w:lineRule="exact" w:line="578"/>
        <w:ind w:firstLine="640"/>
        <w:rPr>
          <w:rStyle w:val="C3"/>
          <w:rFonts w:ascii="楷体_GB2312" w:hAnsi="楷体_GB2312"/>
          <w:sz w:val="32"/>
        </w:rPr>
      </w:pPr>
      <w:r>
        <w:rPr>
          <w:rStyle w:val="C3"/>
          <w:rFonts w:ascii="Microsoft YaHei UI" w:hAnsi="Microsoft YaHei UI"/>
          <w:sz w:val="32"/>
        </w:rPr>
        <w:t>第一章　总则</w:t>
      </w:r>
    </w:p>
    <w:p>
      <w:pPr>
        <w:pStyle w:val="P1"/>
        <w:spacing w:lineRule="exact" w:line="578"/>
        <w:ind w:firstLine="640"/>
        <w:rPr>
          <w:rStyle w:val="C3"/>
          <w:rFonts w:ascii="楷体_GB2312" w:hAnsi="楷体_GB2312"/>
          <w:sz w:val="32"/>
        </w:rPr>
      </w:pPr>
      <w:r>
        <w:rPr>
          <w:rStyle w:val="C3"/>
          <w:rFonts w:ascii="Microsoft YaHei UI" w:hAnsi="Microsoft YaHei UI"/>
          <w:sz w:val="32"/>
        </w:rPr>
        <w:t>第二章　规划</w:t>
      </w:r>
    </w:p>
    <w:p>
      <w:pPr>
        <w:pStyle w:val="P1"/>
        <w:spacing w:lineRule="exact" w:line="578"/>
        <w:ind w:firstLine="640"/>
        <w:rPr>
          <w:rStyle w:val="C3"/>
          <w:rFonts w:ascii="楷体_GB2312" w:hAnsi="楷体_GB2312"/>
          <w:sz w:val="32"/>
        </w:rPr>
      </w:pPr>
      <w:r>
        <w:rPr>
          <w:rStyle w:val="C3"/>
          <w:rFonts w:ascii="Microsoft YaHei UI" w:hAnsi="Microsoft YaHei UI"/>
          <w:sz w:val="32"/>
        </w:rPr>
        <w:t>第三章　建设　　</w:t>
      </w:r>
    </w:p>
    <w:p>
      <w:pPr>
        <w:pStyle w:val="P1"/>
        <w:spacing w:lineRule="exact" w:line="578"/>
        <w:ind w:firstLine="640"/>
        <w:rPr>
          <w:rStyle w:val="C3"/>
          <w:rFonts w:ascii="楷体_GB2312" w:hAnsi="楷体_GB2312"/>
          <w:sz w:val="32"/>
        </w:rPr>
      </w:pPr>
      <w:r>
        <w:rPr>
          <w:rStyle w:val="C3"/>
          <w:rFonts w:ascii="Microsoft YaHei UI" w:hAnsi="Microsoft YaHei UI"/>
          <w:sz w:val="32"/>
        </w:rPr>
        <w:t>第四章　配建和移交</w:t>
      </w:r>
    </w:p>
    <w:p>
      <w:pPr>
        <w:pStyle w:val="P1"/>
        <w:spacing w:lineRule="exact" w:line="578"/>
        <w:ind w:firstLine="640"/>
        <w:rPr>
          <w:rStyle w:val="C3"/>
          <w:rFonts w:ascii="楷体_GB2312" w:hAnsi="楷体_GB2312"/>
          <w:sz w:val="32"/>
        </w:rPr>
      </w:pPr>
      <w:r>
        <w:rPr>
          <w:rStyle w:val="C3"/>
          <w:rFonts w:ascii="Microsoft YaHei UI" w:hAnsi="Microsoft YaHei UI"/>
          <w:sz w:val="32"/>
        </w:rPr>
        <w:t>第五章　监督管理</w:t>
      </w:r>
    </w:p>
    <w:p>
      <w:pPr>
        <w:pStyle w:val="P1"/>
        <w:spacing w:lineRule="exact" w:line="578"/>
        <w:ind w:firstLine="640"/>
        <w:rPr>
          <w:rStyle w:val="C3"/>
          <w:rFonts w:ascii="楷体_GB2312" w:hAnsi="楷体_GB2312"/>
          <w:sz w:val="32"/>
        </w:rPr>
      </w:pPr>
      <w:r>
        <w:rPr>
          <w:rStyle w:val="C3"/>
          <w:rFonts w:ascii="Microsoft YaHei UI" w:hAnsi="Microsoft YaHei UI"/>
          <w:sz w:val="32"/>
        </w:rPr>
        <w:t>第六章　法律责任</w:t>
      </w:r>
    </w:p>
    <w:p>
      <w:pPr>
        <w:pStyle w:val="P1"/>
        <w:spacing w:lineRule="exact" w:line="578"/>
        <w:ind w:firstLine="640"/>
        <w:rPr>
          <w:rStyle w:val="C3"/>
          <w:rFonts w:ascii="楷体_GB2312" w:hAnsi="楷体_GB2312"/>
          <w:sz w:val="32"/>
        </w:rPr>
      </w:pPr>
      <w:r>
        <w:rPr>
          <w:rStyle w:val="C3"/>
          <w:rFonts w:ascii="Microsoft YaHei UI" w:hAnsi="Microsoft YaHei UI"/>
          <w:sz w:val="32"/>
        </w:rPr>
        <w:t>第七章　附则</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Microsoft YaHei UI" w:hAnsi="Microsoft YaHei UI"/>
          <w:sz w:val="32"/>
        </w:rPr>
        <w:t>　为了加强中小学校、幼儿园规划建设，保障中小学校、幼儿园规划建设与经济社会发展、人口增长相适应，根据有关法律、法规的规定，结合本市实际，制定本条例。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本市行政区域内中小学校、幼儿园的规划建设适用本条例。</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本条例所称中小学校，包括小学、初中、普通高中（含完全中学）和中等职业学校。</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中小学校、幼儿园规划建设，应当坚持政府主导、合理规划、统筹建设、依法管理的原则。</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市、县（市、区）人民政府领导、组织中小学校、幼儿园的规划建设，将中小学校、幼儿园规划建设纳入国民经济和社会发展规划、城乡规划和土地利用总体规划，建立联席会议制度，协调解决中小学校、幼儿园规划建设的重大问题。</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市、县（市、区）教育行政部门负责中小学校、幼儿园规划建设的组织实施工作。</w:t>
      </w:r>
    </w:p>
    <w:p>
      <w:pPr>
        <w:pStyle w:val="P1"/>
        <w:spacing w:lineRule="exact" w:line="578"/>
        <w:ind w:firstLine="640"/>
        <w:rPr>
          <w:rStyle w:val="C3"/>
          <w:rFonts w:ascii="仿宋_GB2312" w:hAnsi="仿宋_GB2312"/>
          <w:sz w:val="32"/>
        </w:rPr>
      </w:pPr>
      <w:r>
        <w:rPr>
          <w:rStyle w:val="C3"/>
          <w:rFonts w:ascii="Microsoft YaHei UI" w:hAnsi="Microsoft YaHei UI"/>
          <w:sz w:val="32"/>
        </w:rPr>
        <w:t>规划行政部门负责中小学校、幼儿园的规划管理工作。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国土行政部门负责中小学校、幼儿园的建设用地供给管理工作。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住建行政部门负责中小学校、幼儿园的建设管理工作。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发展改革、城乡管理、公安、财政、环境保护、房管、地震等有关部门按照各自职责，配合做好中小学校、幼儿园的规划建设管理工作。</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规划</w:t>
      </w:r>
    </w:p>
    <w:p>
      <w:pPr>
        <w:pStyle w:val="P1"/>
        <w:spacing w:lineRule="exact" w:line="578"/>
        <w:ind w:firstLine="640"/>
        <w:rPr>
          <w:rStyle w:val="C3"/>
          <w:rFonts w:ascii="仿宋_GB2312" w:hAnsi="仿宋_GB2312"/>
          <w:sz w:val="32"/>
        </w:rPr>
      </w:pP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　</w:t>
      </w:r>
      <w:r>
        <w:rPr>
          <w:rStyle w:val="C3"/>
          <w:rFonts w:ascii="Microsoft YaHei UI" w:hAnsi="Microsoft YaHei UI"/>
          <w:sz w:val="32"/>
        </w:rPr>
        <w:t>市、县（市）教育行政部门应当会同本级规划行政部门、国土行政部门，根据教育事业发展规划、城乡规划和土地利用总体规划，组织编制中小学校、幼儿园布局专项规划。</w:t>
      </w:r>
    </w:p>
    <w:p>
      <w:pPr>
        <w:pStyle w:val="P1"/>
        <w:spacing w:lineRule="exact" w:line="578"/>
        <w:ind w:firstLine="640"/>
        <w:rPr>
          <w:rStyle w:val="C3"/>
          <w:rFonts w:ascii="仿宋_GB2312" w:hAnsi="仿宋_GB2312"/>
          <w:sz w:val="32"/>
        </w:rPr>
      </w:pPr>
      <w:r>
        <w:rPr>
          <w:rStyle w:val="C3"/>
          <w:rFonts w:ascii="Microsoft YaHei UI" w:hAnsi="Microsoft YaHei UI"/>
          <w:sz w:val="32"/>
        </w:rPr>
        <w:t>中小学校、幼儿园布局专项规划在报送审批前，应当采取论证会或者听证会、将专项规划文本向社会公示等方式征求专家和公众的意见。</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中小学校、幼儿园布局专项规划应当报本级人民政府批准，并向社会公布后实施。</w:t>
      </w:r>
    </w:p>
    <w:p>
      <w:pPr>
        <w:pStyle w:val="P1"/>
        <w:spacing w:lineRule="exact" w:line="578"/>
        <w:ind w:firstLine="640"/>
        <w:rPr>
          <w:rStyle w:val="C3"/>
          <w:rFonts w:ascii="仿宋_GB2312" w:hAnsi="仿宋_GB2312"/>
          <w:sz w:val="32"/>
        </w:rPr>
      </w:pPr>
      <w:r>
        <w:rPr>
          <w:rStyle w:val="C3"/>
          <w:rFonts w:ascii="Microsoft YaHei UI" w:hAnsi="Microsoft YaHei UI"/>
          <w:sz w:val="32"/>
        </w:rPr>
        <w:t>中小学校、幼儿园布局专项规划应当报本级人民代表大会常务委员会备案。</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经批准公布的中小学校、幼儿园布局专项规划，是本市中小学校、幼儿园建设的法定依据，任何单位和个人不得擅自变更。因公共利益需要，确需变更的，应当按照原审批程序报请批准并向社会公布。</w:t>
      </w:r>
    </w:p>
    <w:p>
      <w:pPr>
        <w:pStyle w:val="P1"/>
        <w:spacing w:lineRule="exact" w:line="578"/>
        <w:ind w:firstLine="640"/>
        <w:rPr>
          <w:rStyle w:val="C3"/>
          <w:rFonts w:ascii="仿宋_GB2312" w:hAnsi="仿宋_GB2312"/>
          <w:sz w:val="32"/>
        </w:rPr>
      </w:pPr>
      <w:r>
        <w:rPr>
          <w:rStyle w:val="C3"/>
          <w:rFonts w:ascii="Microsoft YaHei UI" w:hAnsi="Microsoft YaHei UI"/>
          <w:sz w:val="32"/>
        </w:rPr>
        <w:t>变更后的中小学校、幼儿园布局专项规划应当报本级人民代表大会常务委员会备案。</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市、县（市）教育行政部门应当会同本级规划行政部门、国土行政部门，每二年组织对中小学校、幼儿园布局专项规划实施情况进行评估，并提出评估报告。组织开展评估可以委托第三方进行。评估报告可以作为调整、变更中小学校、幼儿园布局专项规划的主要依据。</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经批准的城区和县（市）人民政府所在地中小学校、幼儿园布局专项规划应当作为强制性内容纳入当地城市控制性详细规划，予以落实。</w:t>
      </w:r>
    </w:p>
    <w:p>
      <w:pPr>
        <w:pStyle w:val="P1"/>
        <w:spacing w:lineRule="exact" w:line="578"/>
        <w:ind w:firstLine="640"/>
        <w:rPr>
          <w:rStyle w:val="C3"/>
          <w:rFonts w:ascii="仿宋_GB2312" w:hAnsi="仿宋_GB2312"/>
          <w:sz w:val="32"/>
        </w:rPr>
      </w:pPr>
      <w:r>
        <w:rPr>
          <w:rStyle w:val="C3"/>
          <w:rFonts w:ascii="Microsoft YaHei UI" w:hAnsi="Microsoft YaHei UI"/>
          <w:sz w:val="32"/>
        </w:rPr>
        <w:t>农村中小学校、幼儿园布局专项规划应当纳入乡（镇）规划或者村庄规划，统筹实施。</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新建、改建、扩建中小学校、幼儿园的选址和规划设计，应当符合国家有关标准和设计规范。没有国家标准和设计规范的，应当符合省和市制定的地方标准和设计规范。</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新建中小学校、幼儿园规模及生均占地面积，应当符合下列规定：</w:t>
      </w:r>
    </w:p>
    <w:p>
      <w:pPr>
        <w:pStyle w:val="P1"/>
        <w:spacing w:lineRule="exact" w:line="578"/>
        <w:ind w:firstLine="640"/>
        <w:rPr>
          <w:rStyle w:val="C3"/>
          <w:rFonts w:ascii="仿宋_GB2312" w:hAnsi="仿宋_GB2312"/>
          <w:sz w:val="32"/>
        </w:rPr>
      </w:pPr>
      <w:r>
        <w:rPr>
          <w:rStyle w:val="C3"/>
          <w:rFonts w:ascii="Microsoft YaHei UI" w:hAnsi="Microsoft YaHei UI"/>
          <w:sz w:val="32"/>
        </w:rPr>
        <w:t>（一）城区每千人口按七十名、县（市）人民政府所在地每千人口按六十名小学生计算配建相应规模小学，生均占地面积不低于二十平方米，服务半径为五百至八百米；</w:t>
      </w:r>
    </w:p>
    <w:p>
      <w:pPr>
        <w:pStyle w:val="P1"/>
        <w:spacing w:lineRule="exact" w:line="578"/>
        <w:ind w:firstLine="640"/>
        <w:rPr>
          <w:rStyle w:val="C3"/>
          <w:rFonts w:ascii="仿宋_GB2312" w:hAnsi="仿宋_GB2312"/>
          <w:sz w:val="32"/>
        </w:rPr>
      </w:pPr>
      <w:r>
        <w:rPr>
          <w:rStyle w:val="C3"/>
          <w:rFonts w:ascii="Microsoft YaHei UI" w:hAnsi="Microsoft YaHei UI"/>
          <w:sz w:val="32"/>
        </w:rPr>
        <w:t>（二）城区每千人口按七十名、县（市）人民政府所在地每千人口按六十名中学生计算配建相应规模中学，生均占地面积不低于二十平方米，初中服务半径为一千至一千五百米；</w:t>
      </w:r>
    </w:p>
    <w:p>
      <w:pPr>
        <w:pStyle w:val="P1"/>
        <w:spacing w:lineRule="exact" w:line="578"/>
        <w:ind w:firstLine="640"/>
        <w:rPr>
          <w:rStyle w:val="C3"/>
          <w:rFonts w:ascii="仿宋_GB2312" w:hAnsi="仿宋_GB2312"/>
          <w:sz w:val="32"/>
        </w:rPr>
      </w:pPr>
      <w:r>
        <w:rPr>
          <w:rStyle w:val="C3"/>
          <w:rFonts w:ascii="Microsoft YaHei UI" w:hAnsi="Microsoft YaHei UI"/>
          <w:sz w:val="32"/>
        </w:rPr>
        <w:t>（三）城区和县（市）人民政府所在地每千人口按四十名学龄前儿童计算配建相应规模幼儿园，生均占地面积不低于十一平方米。</w:t>
      </w:r>
    </w:p>
    <w:p>
      <w:pPr>
        <w:pStyle w:val="P1"/>
        <w:spacing w:lineRule="exact" w:line="578"/>
        <w:ind w:firstLine="640"/>
        <w:rPr>
          <w:rStyle w:val="C3"/>
          <w:rFonts w:ascii="仿宋_GB2312" w:hAnsi="仿宋_GB2312"/>
          <w:sz w:val="32"/>
        </w:rPr>
      </w:pPr>
      <w:r>
        <w:rPr>
          <w:rStyle w:val="C3"/>
          <w:rFonts w:ascii="Microsoft YaHei UI" w:hAnsi="Microsoft YaHei UI"/>
          <w:sz w:val="32"/>
        </w:rPr>
        <w:t>普通高中（含完全中学）和中等职业学校的规模及生均占地面积按照国家有关标准执行。</w:t>
      </w:r>
    </w:p>
    <w:p>
      <w:pPr>
        <w:pStyle w:val="P1"/>
        <w:spacing w:lineRule="exact" w:line="578"/>
        <w:ind w:firstLine="640"/>
        <w:rPr>
          <w:rStyle w:val="C3"/>
          <w:rFonts w:ascii="仿宋_GB2312" w:hAnsi="仿宋_GB2312"/>
          <w:sz w:val="32"/>
        </w:rPr>
      </w:pPr>
      <w:r>
        <w:rPr>
          <w:rStyle w:val="C3"/>
          <w:rFonts w:ascii="Microsoft YaHei UI" w:hAnsi="Microsoft YaHei UI"/>
          <w:sz w:val="32"/>
        </w:rPr>
        <w:t>因用地环境限制无法满足上述用地要求的，个别中小学校、幼儿园的生均占地面积可以按照实际情况确定，但是必须满足教学功能要求。</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市、县（市、区）人民政府在城市拆迁、旧区改建时，应当根据中小学校布局专项规划和现有中小学校用地面积，做好中小学校的扩建或者增容工作。原有面积低于国家和省、市有关标准的，在城镇建设改造时予以优先解决。</w:t>
      </w:r>
    </w:p>
    <w:p>
      <w:pPr>
        <w:pStyle w:val="P1"/>
        <w:spacing w:lineRule="exact" w:line="578"/>
        <w:ind w:firstLine="640"/>
        <w:rPr>
          <w:rStyle w:val="C3"/>
          <w:rFonts w:ascii="仿宋_GB2312" w:hAnsi="仿宋_GB2312"/>
          <w:sz w:val="32"/>
        </w:rPr>
      </w:pPr>
      <w:r>
        <w:rPr>
          <w:rStyle w:val="C3"/>
          <w:rFonts w:ascii="Microsoft YaHei UI" w:hAnsi="Microsoft YaHei UI"/>
          <w:sz w:val="32"/>
        </w:rPr>
        <w:t>非因国家安全等重大公共设施建设项目需要，不得拆迁中小学校。</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县（市、区）人民政府应当根据本行政区域内教育资源的实际情况，合理确定农村地区中小学校、幼儿园布局。</w:t>
      </w:r>
    </w:p>
    <w:p>
      <w:pPr>
        <w:pStyle w:val="P1"/>
        <w:spacing w:lineRule="exact" w:line="578"/>
        <w:ind w:firstLine="640"/>
        <w:rPr>
          <w:rStyle w:val="C3"/>
          <w:rFonts w:ascii="仿宋_GB2312" w:hAnsi="仿宋_GB2312"/>
          <w:sz w:val="32"/>
        </w:rPr>
      </w:pPr>
      <w:r>
        <w:rPr>
          <w:rStyle w:val="C3"/>
          <w:rFonts w:ascii="Microsoft YaHei UI" w:hAnsi="Microsoft YaHei UI"/>
          <w:sz w:val="32"/>
        </w:rPr>
        <w:t>人口相对集中的行政村应当设置村小学或者教学点，支持在山区、偏远地区建设标准化寄宿制小学。</w:t>
      </w:r>
    </w:p>
    <w:p>
      <w:pPr>
        <w:pStyle w:val="P1"/>
        <w:spacing w:lineRule="exact" w:line="578"/>
        <w:ind w:firstLine="640"/>
        <w:rPr>
          <w:rStyle w:val="C3"/>
          <w:rFonts w:ascii="仿宋_GB2312" w:hAnsi="仿宋_GB2312"/>
          <w:sz w:val="32"/>
        </w:rPr>
      </w:pPr>
      <w:r>
        <w:rPr>
          <w:rStyle w:val="C3"/>
          <w:rFonts w:ascii="Microsoft YaHei UI" w:hAnsi="Microsoft YaHei UI"/>
          <w:sz w:val="32"/>
        </w:rPr>
        <w:t>初中以乡（镇）为单位设置，人口在一万五千人以上的乡（镇）应当至少设置一所初中，人口不足一万五千人的乡（镇）由县（市、区）统筹设置初中。</w:t>
      </w:r>
    </w:p>
    <w:p>
      <w:pPr>
        <w:pStyle w:val="P1"/>
        <w:spacing w:lineRule="exact" w:line="578"/>
        <w:ind w:firstLine="640"/>
        <w:rPr>
          <w:rStyle w:val="C3"/>
          <w:rFonts w:ascii="仿宋_GB2312" w:hAnsi="仿宋_GB2312"/>
          <w:sz w:val="32"/>
        </w:rPr>
      </w:pPr>
      <w:r>
        <w:rPr>
          <w:rStyle w:val="C3"/>
          <w:rFonts w:ascii="Microsoft YaHei UI" w:hAnsi="Microsoft YaHei UI"/>
          <w:sz w:val="32"/>
        </w:rPr>
        <w:t>设置幼儿园应当充分考虑农村人口分布和流动趋势，乡（镇）和大村可以独立办园，小村可以设分园或者联合办园。</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规划行政部门在编制新区开发规划时，应当按照中小学校、幼儿园布局专项规划预留中小学校、幼儿园建设用地。</w:t>
      </w:r>
    </w:p>
    <w:p>
      <w:pPr>
        <w:pStyle w:val="P1"/>
        <w:spacing w:lineRule="exact" w:line="578"/>
        <w:ind w:firstLine="640"/>
        <w:rPr>
          <w:rStyle w:val="C3"/>
          <w:rFonts w:ascii="仿宋_GB2312" w:hAnsi="仿宋_GB2312"/>
          <w:sz w:val="32"/>
        </w:rPr>
      </w:pPr>
      <w:r>
        <w:rPr>
          <w:rStyle w:val="C3"/>
          <w:rFonts w:ascii="Microsoft YaHei UI" w:hAnsi="Microsoft YaHei UI"/>
          <w:sz w:val="32"/>
        </w:rPr>
        <w:t>规划预留的中小学校建设用地，规划行政部门应当核定用地位置和界线；规划预留的幼儿园用地，规划行政部门应当核定用地位置和规模。</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中小学校、幼儿园合并、分立、置换、搬迁等需要对用地进行调整的，由教育行政部门会同规划、国土、发展改革、财政等有关部门提出方案，按照规定程序报批后实施。</w:t>
      </w:r>
    </w:p>
    <w:p>
      <w:pPr>
        <w:pStyle w:val="P1"/>
        <w:spacing w:lineRule="exact" w:line="578"/>
        <w:ind w:firstLine="640"/>
        <w:rPr>
          <w:rStyle w:val="C3"/>
          <w:rFonts w:ascii="仿宋_GB2312" w:hAnsi="仿宋_GB2312"/>
          <w:sz w:val="32"/>
        </w:rPr>
      </w:pPr>
      <w:r>
        <w:rPr>
          <w:rStyle w:val="C3"/>
          <w:rFonts w:ascii="Microsoft YaHei UI" w:hAnsi="Microsoft YaHei UI"/>
          <w:sz w:val="32"/>
        </w:rPr>
        <w:t>本市行政区域内大专院校因合并、分立、置换、搬迁后闲置的教育资源以及其他富余的公共资源应当优先改建成中小学校、幼儿园。</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建设</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教育行政部门应当根据中小学校、幼儿园布局专项规划和入学需求，提出中小学校、幼儿园年度建设计划，报请本级人民政府批准后列入当年建设计划。</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市人民政府有关部门负责城区范围内普通高中（含完全中学）和中等职业学校建设计划的组织实施工作。</w:t>
      </w:r>
    </w:p>
    <w:p>
      <w:pPr>
        <w:pStyle w:val="P1"/>
        <w:spacing w:lineRule="exact" w:line="578"/>
        <w:ind w:firstLine="640"/>
        <w:rPr>
          <w:rStyle w:val="C3"/>
          <w:rFonts w:ascii="仿宋_GB2312" w:hAnsi="仿宋_GB2312"/>
          <w:sz w:val="32"/>
        </w:rPr>
      </w:pPr>
      <w:r>
        <w:rPr>
          <w:rStyle w:val="C3"/>
          <w:rFonts w:ascii="Microsoft YaHei UI" w:hAnsi="Microsoft YaHei UI"/>
          <w:sz w:val="32"/>
        </w:rPr>
        <w:t>县（市）人民政府负责本行政区域内中小学校、幼儿园建设计划的组织实施工作。</w:t>
      </w:r>
    </w:p>
    <w:p>
      <w:pPr>
        <w:pStyle w:val="P1"/>
        <w:spacing w:lineRule="exact" w:line="578"/>
        <w:ind w:firstLine="640"/>
        <w:rPr>
          <w:rStyle w:val="C3"/>
          <w:rFonts w:ascii="仿宋_GB2312" w:hAnsi="仿宋_GB2312"/>
          <w:sz w:val="32"/>
        </w:rPr>
      </w:pPr>
      <w:r>
        <w:rPr>
          <w:rStyle w:val="C3"/>
          <w:rFonts w:ascii="Microsoft YaHei UI" w:hAnsi="Microsoft YaHei UI"/>
          <w:sz w:val="32"/>
        </w:rPr>
        <w:t>城区人民政府负责辖区范围内小学、初中、幼儿园建设计划的组织实施工作。</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中小学校、幼儿园建筑设计应当符合国家规定的设计、建设标准和规范，充分考虑教育教学需要以及中小学生和学龄前儿童使用特点，达到建筑工程质量、消防、抗震、防雷、环保、节能、卫生、安全等标准和规范的要求。</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毗邻现有中小学校、幼儿园或者中小学校、幼儿园预留用地新建、改建、扩建建筑物、构筑物和其他设施的，应当符合国家规定的间距、消防、安全和环保等要求，不得影响中小学校、幼儿园规划建设的实施，不得妨碍中小学校、幼儿园的通风、采光和日照，不得危害学校环境和师生身心健康。</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中小学校、幼儿园周边应当有良好的交通条件，与中小学校、幼儿园毗邻的主干道应当设置适当的安全设施，保障中小学生和学龄前儿童安全通行。中小学校、幼儿园门前及周围道路应当设置规范的警告、限速、禁鸣、让行等交通标志、标线。</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市人民政府应当组织有关部门编制中小学校、幼儿园建设需要缴纳的行政事业性收费和服务性收费清单，并向社会公布。对国家和省规定予以减免的收费项目，应当依法减免；对属于本市开征的收费项目，应当予以免征。</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中小学校、幼儿园建设资金按照下列渠道筹措：</w:t>
      </w:r>
    </w:p>
    <w:p>
      <w:pPr>
        <w:pStyle w:val="P1"/>
        <w:spacing w:lineRule="exact" w:line="578"/>
        <w:ind w:firstLine="640"/>
        <w:rPr>
          <w:rStyle w:val="C3"/>
          <w:rFonts w:ascii="仿宋_GB2312" w:hAnsi="仿宋_GB2312"/>
          <w:sz w:val="32"/>
        </w:rPr>
      </w:pPr>
      <w:r>
        <w:rPr>
          <w:rStyle w:val="C3"/>
          <w:rFonts w:ascii="Microsoft YaHei UI" w:hAnsi="Microsoft YaHei UI"/>
          <w:sz w:val="32"/>
        </w:rPr>
        <w:t>（一）市、县（市、区）人民政府的财政拨款；</w:t>
      </w:r>
    </w:p>
    <w:p>
      <w:pPr>
        <w:pStyle w:val="P1"/>
        <w:spacing w:lineRule="exact" w:line="578"/>
        <w:ind w:firstLine="640"/>
        <w:rPr>
          <w:rStyle w:val="C3"/>
          <w:rFonts w:ascii="仿宋_GB2312" w:hAnsi="仿宋_GB2312"/>
          <w:sz w:val="32"/>
        </w:rPr>
      </w:pPr>
      <w:r>
        <w:rPr>
          <w:rStyle w:val="C3"/>
          <w:rFonts w:ascii="Microsoft YaHei UI" w:hAnsi="Microsoft YaHei UI"/>
          <w:sz w:val="32"/>
        </w:rPr>
        <w:t>（二）依法征收的教育费附加、地方教育费附加和土地出让收益计提百分之十；</w:t>
      </w:r>
    </w:p>
    <w:p>
      <w:pPr>
        <w:pStyle w:val="P1"/>
        <w:spacing w:lineRule="exact" w:line="578"/>
        <w:ind w:firstLine="640"/>
        <w:rPr>
          <w:rStyle w:val="C3"/>
          <w:rFonts w:ascii="仿宋_GB2312" w:hAnsi="仿宋_GB2312"/>
          <w:sz w:val="32"/>
        </w:rPr>
      </w:pPr>
      <w:r>
        <w:rPr>
          <w:rStyle w:val="C3"/>
          <w:rFonts w:ascii="Microsoft YaHei UI" w:hAnsi="Microsoft YaHei UI"/>
          <w:sz w:val="32"/>
        </w:rPr>
        <w:t>（三）社会组织和个人的捐资；</w:t>
      </w:r>
    </w:p>
    <w:p>
      <w:pPr>
        <w:pStyle w:val="P1"/>
        <w:spacing w:lineRule="exact" w:line="578"/>
        <w:ind w:firstLine="640"/>
        <w:rPr>
          <w:rStyle w:val="C3"/>
          <w:rFonts w:ascii="仿宋_GB2312" w:hAnsi="仿宋_GB2312"/>
          <w:sz w:val="32"/>
        </w:rPr>
      </w:pPr>
      <w:r>
        <w:rPr>
          <w:rStyle w:val="C3"/>
          <w:rFonts w:ascii="Microsoft YaHei UI" w:hAnsi="Microsoft YaHei UI"/>
          <w:sz w:val="32"/>
        </w:rPr>
        <w:t>（四）建设单位纳入综合开发计划的建设资金；</w:t>
      </w:r>
    </w:p>
    <w:p>
      <w:pPr>
        <w:pStyle w:val="P1"/>
        <w:spacing w:lineRule="exact" w:line="578"/>
        <w:ind w:firstLine="640"/>
        <w:rPr>
          <w:rStyle w:val="C3"/>
          <w:rFonts w:ascii="仿宋_GB2312" w:hAnsi="仿宋_GB2312"/>
          <w:sz w:val="32"/>
        </w:rPr>
      </w:pPr>
      <w:r>
        <w:rPr>
          <w:rStyle w:val="C3"/>
          <w:rFonts w:ascii="Microsoft YaHei UI" w:hAnsi="Microsoft YaHei UI"/>
          <w:sz w:val="32"/>
        </w:rPr>
        <w:t>（五）法律、法规规定的其他渠道筹措的资金。</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支持鼓励社会组织和个人投资建设中小学校、幼儿园。</w:t>
      </w:r>
    </w:p>
    <w:p>
      <w:pPr>
        <w:pStyle w:val="P1"/>
        <w:spacing w:lineRule="exact" w:line="578"/>
        <w:ind w:firstLine="640"/>
        <w:rPr>
          <w:rStyle w:val="C3"/>
          <w:rFonts w:ascii="仿宋_GB2312" w:hAnsi="仿宋_GB2312"/>
          <w:sz w:val="32"/>
        </w:rPr>
      </w:pPr>
      <w:r>
        <w:rPr>
          <w:rStyle w:val="C3"/>
          <w:rFonts w:ascii="Microsoft YaHei UI" w:hAnsi="Microsoft YaHei UI"/>
          <w:sz w:val="32"/>
        </w:rPr>
        <w:t>支持鼓励社会组织和个人依照《中华人民共和国公益事业捐赠法》的规定，捐赠财产建设中小学校、幼儿园。</w:t>
      </w:r>
    </w:p>
    <w:p>
      <w:pPr>
        <w:pStyle w:val="P1"/>
        <w:spacing w:lineRule="exact" w:line="578"/>
        <w:ind w:firstLine="640"/>
        <w:rPr>
          <w:rStyle w:val="C3"/>
          <w:rFonts w:ascii="仿宋_GB2312" w:hAnsi="仿宋_GB2312"/>
          <w:sz w:val="32"/>
        </w:rPr>
      </w:pPr>
      <w:r>
        <w:rPr>
          <w:rStyle w:val="C3"/>
          <w:rFonts w:ascii="Microsoft YaHei UI" w:hAnsi="Microsoft YaHei UI"/>
          <w:sz w:val="32"/>
        </w:rPr>
        <w:t>社会组织和个人投资、捐赠建设中小学校、幼儿园的，应当按照国家有关规定给予优惠。</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配建和移交</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开发建设商品房、保障性住房以及城中村、棚户区改造涉及的房屋建设等住宅建设项目，需要配套建设中小学校、幼儿园的，市、县（市、区）人民政府或者有关建设单位应当按照中小学校、幼儿园布局专项规划配建小学、初中和幼儿园。</w:t>
      </w: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住宅建设项目配建中小学校、幼儿园所需用地，符合《划拨用地目录》中非营利性教育设施用地有关规定，经有批准权的人民政府批准，以划拨方式供地；住宅建设项目配建营利性中小学校、幼儿园所需用地，以出让方式供地。</w:t>
      </w:r>
    </w:p>
    <w:p>
      <w:pPr>
        <w:pStyle w:val="P1"/>
        <w:spacing w:lineRule="exact" w:line="578"/>
        <w:ind w:firstLine="640"/>
        <w:rPr>
          <w:rStyle w:val="C3"/>
          <w:rFonts w:ascii="仿宋_GB2312" w:hAnsi="仿宋_GB2312"/>
          <w:sz w:val="32"/>
        </w:rPr>
      </w:pPr>
      <w:r>
        <w:rPr>
          <w:rStyle w:val="C3"/>
          <w:rFonts w:ascii="Microsoft YaHei UI" w:hAnsi="Microsoft YaHei UI"/>
          <w:sz w:val="32"/>
        </w:rPr>
        <w:t>以划拨方式供地的，由市、县（市、区）教育行政部门或者教育行政部门指定的教育机构，依法办理相关用地手续。</w:t>
      </w:r>
    </w:p>
    <w:p>
      <w:pPr>
        <w:pStyle w:val="P1"/>
        <w:spacing w:lineRule="exact" w:line="578"/>
        <w:ind w:firstLine="640"/>
        <w:rPr>
          <w:rStyle w:val="C3"/>
          <w:rFonts w:ascii="仿宋_GB2312" w:hAnsi="仿宋_GB2312"/>
          <w:sz w:val="32"/>
        </w:rPr>
      </w:pPr>
      <w:r>
        <w:rPr>
          <w:rStyle w:val="C3"/>
          <w:rFonts w:ascii="Microsoft YaHei UI" w:hAnsi="Microsoft YaHei UI"/>
          <w:sz w:val="32"/>
        </w:rPr>
        <w:t>以出让方式供地的，建设单位自愿将其建设的中小学校、幼儿园无偿移交政府举办的，建设单位应当与教育行政部门在办理住宅建设项目配建中小学校、幼儿园用地手续前签订协议，明确配建中小学校、幼儿园的性质、建设标准和建成后无偿移交教育行政部门等内容。变更出让中小学校、幼儿园用地的，由教育行政部门报请市人民政府批准后，由国土行政部门依法办理国有土地使用权变更手续。</w:t>
      </w: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住宅建设项目配建中小学校、幼儿园的，规划行政部门在出具建设项目规划条件时，应当明确配建中小学校、幼儿园的占地面积、建筑面积等内容；在核发建设工程规划许可证前，应当就中小学校、幼儿园的建设方案书面征求同级教育行政部门意见。</w:t>
      </w:r>
    </w:p>
    <w:p>
      <w:pPr>
        <w:pStyle w:val="P1"/>
        <w:spacing w:lineRule="exact" w:line="578"/>
        <w:ind w:firstLine="640"/>
        <w:rPr>
          <w:rStyle w:val="C3"/>
          <w:rFonts w:ascii="仿宋_GB2312" w:hAnsi="仿宋_GB2312"/>
          <w:sz w:val="32"/>
        </w:rPr>
      </w:pPr>
      <w:r>
        <w:rPr>
          <w:rStyle w:val="C3"/>
          <w:rFonts w:ascii="Microsoft YaHei UI" w:hAnsi="Microsoft YaHei UI"/>
          <w:sz w:val="32"/>
        </w:rPr>
        <w:t>建设单位应当按照建设工程规划许可证的规定进行建设。</w:t>
      </w: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建设单位应当在住宅建设项目施工现场和房屋销售现场，公示配建中小学校、幼儿园的办学性质、规模和标准、开工和竣工日期等信息。</w:t>
      </w:r>
    </w:p>
    <w:p>
      <w:pPr>
        <w:pStyle w:val="P1"/>
        <w:spacing w:lineRule="exact" w:line="578"/>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配建中小学校、幼儿园应当与住宅建设项目同时办理规划、土地、建设等审批手续，与住宅建设项目同步设计、同步施工、同步验收、同步交付使用。</w:t>
      </w:r>
    </w:p>
    <w:p>
      <w:pPr>
        <w:pStyle w:val="P1"/>
        <w:spacing w:lineRule="exact" w:line="578"/>
        <w:ind w:firstLine="640"/>
        <w:rPr>
          <w:rStyle w:val="C3"/>
          <w:rFonts w:ascii="仿宋_GB2312" w:hAnsi="仿宋_GB2312"/>
          <w:sz w:val="32"/>
        </w:rPr>
      </w:pPr>
      <w:r>
        <w:rPr>
          <w:rStyle w:val="C3"/>
          <w:rFonts w:ascii="Microsoft YaHei UI" w:hAnsi="Microsoft YaHei UI"/>
          <w:sz w:val="32"/>
        </w:rPr>
        <w:t>分期建设的住宅建设项目，配建中小学校、幼儿园应当与首期建设项目同步设计、同步施工、同步验收、同步交付使用。</w:t>
      </w:r>
    </w:p>
    <w:p>
      <w:pPr>
        <w:pStyle w:val="P1"/>
        <w:spacing w:lineRule="exact" w:line="578"/>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住宅建设项目不具备配建中小学校、幼儿园条件的，市、县（市、区）人民政府应当统筹协调教育资源。</w:t>
      </w:r>
    </w:p>
    <w:p>
      <w:pPr>
        <w:pStyle w:val="P1"/>
        <w:spacing w:lineRule="exact" w:line="578"/>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配建中小学校、幼儿园的住宅建设项目竣工验收时，验收组织单位应当通知教育行政部门及相关部门参加。配建中小学校、幼儿园不符合相关标准和规范要求的，建设单位应当及时整改。</w:t>
      </w:r>
    </w:p>
    <w:p>
      <w:pPr>
        <w:pStyle w:val="P1"/>
        <w:spacing w:lineRule="exact" w:line="578"/>
        <w:ind w:firstLine="640"/>
        <w:rPr>
          <w:rStyle w:val="C3"/>
          <w:rFonts w:ascii="仿宋_GB2312" w:hAnsi="仿宋_GB2312"/>
          <w:sz w:val="32"/>
        </w:rPr>
      </w:pPr>
      <w:r>
        <w:rPr>
          <w:rStyle w:val="C3"/>
          <w:rFonts w:ascii="Microsoft YaHei UI" w:hAnsi="Microsoft YaHei UI"/>
          <w:sz w:val="32"/>
        </w:rPr>
        <w:t>对配建中小学校、幼儿园不符合规划条件、设计方案、相关标准和规范要求的，不予办理竣工验收备案手续，并依法追究法律责任。</w:t>
      </w:r>
    </w:p>
    <w:p>
      <w:pPr>
        <w:pStyle w:val="P1"/>
        <w:spacing w:lineRule="exact" w:line="578"/>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配建的中小学校、幼儿园竣工验收合格后三个月内，建设单位与教育行政部门有签订协议的，应当按照协议将校舍、场地和相关建设资料全部移交教育行政部门，并协助办理不动产登记。教育行政部门应当及时办理接管手续。</w:t>
      </w:r>
    </w:p>
    <w:p>
      <w:pPr>
        <w:pStyle w:val="P1"/>
        <w:spacing w:lineRule="exact" w:line="578"/>
        <w:ind w:firstLine="640"/>
        <w:rPr>
          <w:rStyle w:val="C3"/>
          <w:rFonts w:ascii="仿宋_GB2312" w:hAnsi="仿宋_GB2312"/>
          <w:sz w:val="32"/>
        </w:rPr>
      </w:pPr>
      <w:r>
        <w:rPr>
          <w:rStyle w:val="C3"/>
          <w:rFonts w:ascii="Microsoft YaHei UI" w:hAnsi="Microsoft YaHei UI"/>
          <w:sz w:val="32"/>
        </w:rPr>
        <w:t>配建的中小学校、幼儿园移交产生的税费，由同级人民政府列入财政预算，予以保障。</w:t>
      </w:r>
    </w:p>
    <w:p>
      <w:pPr>
        <w:pStyle w:val="P1"/>
        <w:spacing w:lineRule="exact" w:line="578"/>
        <w:ind w:firstLine="640"/>
        <w:rPr>
          <w:rStyle w:val="C3"/>
          <w:rFonts w:ascii="仿宋_GB2312" w:hAnsi="仿宋_GB2312"/>
          <w:sz w:val="32"/>
        </w:rPr>
      </w:pPr>
      <w:r>
        <w:rPr>
          <w:rStyle w:val="C3"/>
          <w:rFonts w:ascii="Microsoft YaHei UI" w:hAnsi="Microsoft YaHei UI"/>
          <w:sz w:val="32"/>
        </w:rPr>
        <w:t>配建中小学校、幼儿园移交管理的具体办法由市人民政府制定。</w:t>
      </w:r>
    </w:p>
    <w:p>
      <w:pPr>
        <w:pStyle w:val="P1"/>
        <w:spacing w:lineRule="exact" w:line="578"/>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住宅建设项目配建中小学校、幼儿园移交前由建设单位负责管理维护，并承担相应费用；移交后由教育行政部门负责管理维护，并承担相应费用。</w:t>
      </w:r>
    </w:p>
    <w:p>
      <w:pPr>
        <w:pStyle w:val="P1"/>
        <w:spacing w:lineRule="exact" w:line="578"/>
        <w:ind w:firstLine="640"/>
        <w:rPr>
          <w:rStyle w:val="C3"/>
          <w:rFonts w:ascii="仿宋_GB2312" w:hAnsi="仿宋_GB2312"/>
          <w:sz w:val="32"/>
        </w:rPr>
      </w:pPr>
      <w:r>
        <w:rPr>
          <w:rStyle w:val="C3"/>
          <w:rFonts w:ascii="Microsoft YaHei UI" w:hAnsi="Microsoft YaHei UI"/>
          <w:sz w:val="32"/>
        </w:rPr>
        <w:t>配建中小学校、幼儿园的建设、勘察、设计、监理、施工等单位，应当按照有关法律法规规定承担质量安全保证责任。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监督管理</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市、县（市、区）人民政府应当对本级人民政府有关部门执行本条例情况进行监督，并将执行情况纳入政府目标管理和绩效考核内容。</w:t>
      </w:r>
    </w:p>
    <w:p>
      <w:pPr>
        <w:pStyle w:val="P1"/>
        <w:spacing w:lineRule="exact" w:line="578"/>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市、县（市、区）人民政府应当组织教育、规划、国土、住建、发展改革、房管等部门，根据有关法律、法规和本条例的规定，简化中小学校、幼儿园建设的审批程序，明确审批条件、时限和责任，提高审批效率。</w:t>
      </w:r>
    </w:p>
    <w:p>
      <w:pPr>
        <w:pStyle w:val="P1"/>
        <w:spacing w:lineRule="exact" w:line="578"/>
        <w:ind w:firstLine="640"/>
        <w:rPr>
          <w:rStyle w:val="C3"/>
          <w:rFonts w:ascii="仿宋_GB2312" w:hAnsi="仿宋_GB2312"/>
          <w:sz w:val="32"/>
        </w:rPr>
      </w:pPr>
      <w:r>
        <w:rPr>
          <w:rStyle w:val="C3"/>
          <w:rFonts w:ascii="Microsoft YaHei UI" w:hAnsi="Microsoft YaHei UI"/>
          <w:sz w:val="32"/>
        </w:rPr>
        <w:t>教育行政部门应当组织对因城市建设、人口变化等因素影响学校布局、学生就学的情况进行评估，并及时将评估结果向本级人民政府报告。</w:t>
      </w:r>
    </w:p>
    <w:p>
      <w:pPr>
        <w:pStyle w:val="P1"/>
        <w:spacing w:lineRule="exact" w:line="578"/>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市、县（市、区）人民政府教育督导机构应当依照有关法律法规规定，对实施本条例的有关情况进行专项督导。</w:t>
      </w:r>
    </w:p>
    <w:p>
      <w:pPr>
        <w:pStyle w:val="P1"/>
        <w:spacing w:lineRule="exact" w:line="578"/>
        <w:ind w:firstLine="640"/>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教育行政部门应当会同规划、国土、住建、发展改革、房管等有关部门对中小学校、幼儿园规划建设情况进行监督检查，对监督检查中发现的问题及时提出整改意见和建议。</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　法律责任</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违反本条例规定，教育、规划、国土、住建等部门及其工作人员有下列情形之一的，由有关行政部门责令限期改正，通报批评；情节严重的，对直接负责的主管人员和其他直接责任人员依法给予处分：</w:t>
      </w:r>
    </w:p>
    <w:p>
      <w:pPr>
        <w:pStyle w:val="P1"/>
        <w:spacing w:lineRule="exact" w:line="578"/>
        <w:ind w:firstLine="640"/>
        <w:rPr>
          <w:rStyle w:val="C3"/>
          <w:rFonts w:ascii="仿宋_GB2312" w:hAnsi="仿宋_GB2312"/>
          <w:sz w:val="32"/>
        </w:rPr>
      </w:pPr>
      <w:r>
        <w:rPr>
          <w:rStyle w:val="C3"/>
          <w:rFonts w:ascii="Microsoft YaHei UI" w:hAnsi="Microsoft YaHei UI"/>
          <w:sz w:val="32"/>
        </w:rPr>
        <w:t>（一）未组织编制、调整或者擅自变更中小学校、幼儿园布局专项规划的；</w:t>
      </w:r>
    </w:p>
    <w:p>
      <w:pPr>
        <w:pStyle w:val="P1"/>
        <w:spacing w:lineRule="exact" w:line="578"/>
        <w:ind w:firstLine="640"/>
        <w:rPr>
          <w:rStyle w:val="C3"/>
          <w:rFonts w:ascii="仿宋_GB2312" w:hAnsi="仿宋_GB2312"/>
          <w:sz w:val="32"/>
        </w:rPr>
      </w:pPr>
      <w:r>
        <w:rPr>
          <w:rStyle w:val="C3"/>
          <w:rFonts w:ascii="Microsoft YaHei UI" w:hAnsi="Microsoft YaHei UI"/>
          <w:sz w:val="32"/>
        </w:rPr>
        <w:t>（二）未按照中小学校、幼儿园布局专项规划规划建设的；</w:t>
      </w:r>
    </w:p>
    <w:p>
      <w:pPr>
        <w:pStyle w:val="P1"/>
        <w:spacing w:lineRule="exact" w:line="578"/>
        <w:ind w:firstLine="640"/>
        <w:rPr>
          <w:rStyle w:val="C3"/>
          <w:rFonts w:ascii="仿宋_GB2312" w:hAnsi="仿宋_GB2312"/>
          <w:sz w:val="32"/>
        </w:rPr>
      </w:pPr>
      <w:r>
        <w:rPr>
          <w:rStyle w:val="C3"/>
          <w:rFonts w:ascii="Microsoft YaHei UI" w:hAnsi="Microsoft YaHei UI"/>
          <w:sz w:val="32"/>
        </w:rPr>
        <w:t>（三）中小学校、幼儿园建设不符合本条例规定的用地、选址建设标准的；</w:t>
      </w:r>
    </w:p>
    <w:p>
      <w:pPr>
        <w:pStyle w:val="P1"/>
        <w:spacing w:lineRule="exact" w:line="578"/>
        <w:ind w:firstLine="640"/>
        <w:rPr>
          <w:rStyle w:val="C3"/>
          <w:rFonts w:ascii="仿宋_GB2312" w:hAnsi="仿宋_GB2312"/>
          <w:sz w:val="32"/>
        </w:rPr>
      </w:pPr>
      <w:r>
        <w:rPr>
          <w:rStyle w:val="C3"/>
          <w:rFonts w:ascii="Microsoft YaHei UI" w:hAnsi="Microsoft YaHei UI"/>
          <w:sz w:val="32"/>
        </w:rPr>
        <w:t>（四）对不符合法律、法规规定要求建设的中小学校、幼儿园项目办理规划、建设许可、竣工验收手续的；</w:t>
      </w:r>
    </w:p>
    <w:p>
      <w:pPr>
        <w:pStyle w:val="P1"/>
        <w:spacing w:lineRule="exact" w:line="578"/>
        <w:ind w:firstLine="640"/>
        <w:rPr>
          <w:rStyle w:val="C3"/>
          <w:rFonts w:ascii="仿宋_GB2312" w:hAnsi="仿宋_GB2312"/>
          <w:sz w:val="32"/>
        </w:rPr>
      </w:pPr>
      <w:r>
        <w:rPr>
          <w:rStyle w:val="C3"/>
          <w:rFonts w:ascii="Microsoft YaHei UI" w:hAnsi="Microsoft YaHei UI"/>
          <w:sz w:val="32"/>
        </w:rPr>
        <w:t>（五）其他玩忽职守、滥用职权、徇私舞弊的行为。</w:t>
      </w:r>
    </w:p>
    <w:p>
      <w:pPr>
        <w:pStyle w:val="P1"/>
        <w:spacing w:lineRule="exact" w:line="578"/>
        <w:ind w:firstLine="640"/>
        <w:rPr>
          <w:rStyle w:val="C3"/>
          <w:rFonts w:ascii="仿宋_GB2312" w:hAnsi="仿宋_GB2312"/>
          <w:sz w:val="32"/>
        </w:rPr>
      </w:pPr>
      <w:r>
        <w:rPr>
          <w:rStyle w:val="C3"/>
          <w:rFonts w:ascii="黑体" w:hAnsi="黑体"/>
          <w:sz w:val="32"/>
        </w:rPr>
        <w:t>第三十九条　</w:t>
      </w:r>
      <w:r>
        <w:rPr>
          <w:rStyle w:val="C3"/>
          <w:rFonts w:ascii="Microsoft YaHei UI" w:hAnsi="Microsoft YaHei UI"/>
          <w:sz w:val="32"/>
        </w:rPr>
        <w:t>违反本条例规定，建设单位擅自改变以划拨方式取得配建中小学校、幼儿园建设用地用途的，由国土行政部门责令交还土地，并处非法占用土地每平方米十元以上三十元以下罚款。</w:t>
      </w:r>
    </w:p>
    <w:p>
      <w:pPr>
        <w:pStyle w:val="P1"/>
        <w:spacing w:lineRule="exact" w:line="578"/>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违反本条例规定，建设单位配建的中小学校、幼儿园未按照建设工程规划许可证的规定进行建设的，由规划行政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w:t>
      </w:r>
    </w:p>
    <w:p>
      <w:pPr>
        <w:pStyle w:val="P1"/>
        <w:spacing w:lineRule="exact" w:line="578"/>
        <w:ind w:firstLine="640"/>
        <w:rPr>
          <w:rStyle w:val="C3"/>
          <w:rFonts w:ascii="仿宋_GB2312" w:hAnsi="仿宋_GB2312"/>
          <w:sz w:val="32"/>
        </w:rPr>
      </w:pPr>
      <w:r>
        <w:rPr>
          <w:rStyle w:val="C3"/>
          <w:rFonts w:ascii="黑体" w:hAnsi="黑体"/>
          <w:sz w:val="32"/>
        </w:rPr>
        <w:t>第四十一条　</w:t>
      </w:r>
      <w:r>
        <w:rPr>
          <w:rStyle w:val="C3"/>
          <w:rFonts w:ascii="Microsoft YaHei UI" w:hAnsi="Microsoft YaHei UI"/>
          <w:sz w:val="32"/>
        </w:rPr>
        <w:t>违反本条例规定，建设单位违反约定未将配建的中小学校、幼儿园的校舍、场地及相关建设资料在规定期限内移交的，由教育行政部门作出限期移交决定；逾期不移交的，由教育行政部门依法申请人民法院强制执行。</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第七章　附则</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本条例施行前，建设单位配建的中小学校、幼儿园未移交教育行政部门的，由市、县（市、区）人民政府组织，经教育行政部门与建设单位协商一致，由有批准权的人民政府批准，可以收回中小学校、幼儿园的建设用地使用权。</w:t>
      </w:r>
    </w:p>
    <w:p>
      <w:pPr>
        <w:pStyle w:val="P1"/>
        <w:spacing w:lineRule="exact" w:line="578"/>
        <w:ind w:firstLine="640"/>
        <w:rPr>
          <w:rStyle w:val="C3"/>
          <w:rFonts w:ascii="仿宋_GB2312" w:hAnsi="仿宋_GB2312"/>
          <w:sz w:val="32"/>
        </w:rPr>
      </w:pPr>
      <w:r>
        <w:rPr>
          <w:rStyle w:val="C3"/>
          <w:rFonts w:ascii="黑体" w:hAnsi="黑体"/>
          <w:sz w:val="32"/>
        </w:rPr>
        <w:t>第四十三条　</w:t>
      </w:r>
      <w:r>
        <w:rPr>
          <w:rStyle w:val="C3"/>
          <w:rFonts w:ascii="Microsoft YaHei UI" w:hAnsi="Microsoft YaHei UI"/>
          <w:sz w:val="32"/>
        </w:rPr>
        <w:t>本条例施行前，建设单位没有按照规划要求配建中小学校、幼儿园的，由市、县（市、区）人民政府组织有关部门依法处理。</w:t>
      </w:r>
    </w:p>
    <w:p>
      <w:pPr>
        <w:pStyle w:val="P1"/>
        <w:spacing w:lineRule="exact" w:line="578"/>
        <w:ind w:firstLine="640"/>
        <w:rPr>
          <w:rStyle w:val="C3"/>
          <w:rFonts w:ascii="仿宋_GB2312" w:hAnsi="仿宋_GB2312"/>
          <w:sz w:val="32"/>
        </w:rPr>
      </w:pPr>
      <w:r>
        <w:rPr>
          <w:rStyle w:val="C3"/>
          <w:rFonts w:ascii="黑体" w:hAnsi="黑体"/>
          <w:sz w:val="32"/>
        </w:rPr>
        <w:t>第四十四条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5"/>
    <w:pPr>
      <w:spacing w:before="100" w:after="100" w:beforeAutospacing="1" w:afterAutospacing="1"/>
      <w:jc w:val="left"/>
      <w:outlineLvl w:val="0"/>
    </w:pPr>
    <w:rPr>
      <w:rFonts w:ascii="宋体" w:hAnsi="宋体"/>
      <w:b w:val="1"/>
      <w:sz w:val="48"/>
    </w:rPr>
  </w:style>
  <w:style w:type="paragraph" w:styleId="P3">
    <w:name w:val="标题 2"/>
    <w:basedOn w:val="P1"/>
    <w:next w:val="P1"/>
    <w:link w:val="C8"/>
    <w:pPr>
      <w:spacing w:before="100" w:after="100" w:beforeAutospacing="1" w:afterAutospacing="1"/>
      <w:jc w:val="left"/>
      <w:outlineLvl w:val="1"/>
    </w:pPr>
    <w:rPr>
      <w:rFonts w:ascii="宋体" w:hAnsi="宋体"/>
      <w:b w:val="1"/>
      <w:sz w:val="36"/>
    </w:rPr>
  </w:style>
  <w:style w:type="paragraph" w:styleId="P4">
    <w:name w:val="标题 3"/>
    <w:basedOn w:val="P1"/>
    <w:next w:val="P1"/>
    <w:link w:val="C4"/>
    <w:pPr>
      <w:spacing w:before="100" w:after="100" w:beforeAutospacing="1" w:afterAutospacing="1"/>
      <w:jc w:val="left"/>
      <w:outlineLvl w:val="2"/>
    </w:pPr>
    <w:rPr>
      <w:rFonts w:ascii="宋体" w:hAnsi="宋体"/>
      <w:b w:val="1"/>
      <w:sz w:val="27"/>
    </w:rPr>
  </w:style>
  <w:style w:type="paragraph" w:styleId="P5">
    <w:name w:val="页眉"/>
    <w:basedOn w:val="P1"/>
    <w:next w:val="P5"/>
    <w:link w:val="C7"/>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6"/>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3 Char"/>
    <w:basedOn w:val="C3"/>
    <w:link w:val="P4"/>
    <w:rPr>
      <w:rFonts w:ascii="宋体" w:hAnsi="宋体"/>
      <w:b w:val="1"/>
      <w:sz w:val="27"/>
    </w:rPr>
  </w:style>
  <w:style w:type="character" w:styleId="C5">
    <w:name w:val="标题 1 Char"/>
    <w:basedOn w:val="C3"/>
    <w:link w:val="P2"/>
    <w:rPr>
      <w:rFonts w:ascii="宋体" w:hAnsi="宋体"/>
      <w:b w:val="1"/>
      <w:sz w:val="48"/>
    </w:rPr>
  </w:style>
  <w:style w:type="character" w:styleId="C6">
    <w:name w:val="页脚 Char"/>
    <w:basedOn w:val="C3"/>
    <w:link w:val="P6"/>
    <w:rPr>
      <w:rFonts w:ascii="Calibri" w:hAnsi="Calibri"/>
      <w:sz w:val="18"/>
    </w:rPr>
  </w:style>
  <w:style w:type="character" w:styleId="C7">
    <w:name w:val="页眉 Char"/>
    <w:basedOn w:val="C3"/>
    <w:link w:val="P5"/>
    <w:rPr>
      <w:rFonts w:ascii="Calibri" w:hAnsi="Calibri"/>
      <w:sz w:val="18"/>
    </w:rPr>
  </w:style>
  <w:style w:type="character" w:styleId="C8">
    <w:name w:val="标题 2 Char"/>
    <w:basedOn w:val="C3"/>
    <w:link w:val="P3"/>
    <w:rPr>
      <w:rFonts w:ascii="宋体" w:hAnsi="宋体"/>
      <w:b w:val="1"/>
      <w:sz w:val="3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2024-08-28T01:35:36Z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