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82304C" Type="http://schemas.openxmlformats.org/officeDocument/2006/relationships/officeDocument" Target="/word/document.xml" /><Relationship Id="coreR3882304C" Type="http://schemas.openxmlformats.org/package/2006/relationships/metadata/core-properties" Target="/docProps/core.xml" /><Relationship Id="customR388230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内蒙古自治区革命文物保护利用条例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日内蒙古自治区第十三届人民代表大会常务委员会第三十八次会议通过）</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革命文物保护利用，弘扬革命文化，传承红色基因，充分发挥革命文物在开展爱国主义教育、培育社会主义核心价值观、全面推进中华民族伟大复兴中的重要作用，根据《中华人民共和国文物保护法》《中华人民共和国文物保护法实施条例》和国家有关法律、法规，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自治区行政区域内革命文物的调查认定、保护管理和传承利用等活动，适用本条例。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革命文物，是指见证中国共产党团结带领中国人民进行新民主主义革命、社会主义革命和建设、改革开放和社会主义现代化建设、新时代中国特色社会主义的伟大成就，展现近现代以来中国人民争取中华民族独立、人民解放、国家富强、人民幸福的光荣历史，具有纪念意义、教育意义、史料价值的实物遗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自治区行政区域内经认定的下列革命文物应当依法保护：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（一）重要机构、重要会议、重要事件、重大战役、重大战斗的遗址、遗迹、旧址，重要人物的故居、旧居、活动地、墓地、遗物；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（二）具有重要影响的烈士事迹发生地、烈士墓地和代表性实物，经批准设立的烈士陵园、纪念馆、陈列馆、纪念碑；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（三）重要著作、手稿、报刊、音像、文件、宣传品等档案和文献资料；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（四）其他重要实物遗存。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革命文物工作应当坚持中国共产党的领导，坚持马克思主义的指导地位，以社会主义核心价值观为引领，弘扬革命传统和革命文化，巩固全党全国各族人民团结奋斗的共同思想基础。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革命文物工作应当坚持政治属性和历史属性相统一</w:t>
      </w:r>
      <w:r>
        <w:rPr>
          <w:rStyle w:val="C3"/>
          <w:rFonts w:ascii="仿宋_GB2312" w:hAnsi="仿宋_GB2312"/>
          <w:sz w:val="32"/>
        </w:rPr>
        <w:t>,</w:t>
      </w:r>
      <w:r>
        <w:rPr>
          <w:rStyle w:val="C3"/>
          <w:rFonts w:ascii="Microsoft YaHei UI" w:hAnsi="Microsoft YaHei UI"/>
          <w:sz w:val="32"/>
        </w:rPr>
        <w:t>贯彻保护第一、加强管理、挖掘价值、有效利用、让文物活起来的新时代文物工作方针，实行党委领导、政府负责、部门协同、社会参与的工作机制。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革命文物工作应当树立正确党史观、大历史观，弘扬伟大建党精神，引导人民知史爱党、知史爱国，不断坚定中国特色社会主义共同理想，为培养担当民族复兴大任的时代新人发挥积极作用。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革命文物工作应当以铸牢中华民族共同体意识为主线，引导各族人民牢固树立休戚与共、荣辱与共、生死与共、命运与共的共同体理念，推动各民族坚定对伟大祖国、中华民族、中华文化、中国共产党、中国特色社会主义的高度认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旗县级以上人民政府应当建立革命文物保护利用工作联席会议制度，负责统筹、指导、协调、推动革命文物的保护传承，研究解决工作中的重大问题。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各级人民政府负责本行政区域内革命文物保护利用工作，承担革命文物保护利用的主体责任。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旗县级以上人民政府文物行政部门负责革命文物保护利用工作的指导监督，承担革命文物保护利用的监管责任。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退役军人事务、发展改革、教育、公安机关、财政、自然资源、住房和城乡建设、应急管理、广播电视等部门，宣传、档案、党史和地方志等单位在各自职责范围内做好革命文物保护利用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苏木乡镇人民政府、街道办事处在旗县级人民政府文物行政部门指导下，在本辖区开展革命文物保护利用工作。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嘎查村民委员会、居民委员会协助所在地人民政府做好本辖区革命文物保护利用工作。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旗县级以上人民政府应当将革命文物保护利用事业纳入本级国民经济和社会发展规划、国土空间规划，所需经费列入本级财政预算。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应当按照革命文物保护利用工作的实际需要，加强革命文物保护利用管理机构和专业队伍建设，健全完善相关专业人才培养、选用、激励、评价等机制，培养复合型人才，全面提升革命文物保护利用工作能力和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保护革命文物是全社会的共同责任。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任何组织和个人都有依法保护革命文物的义务，有权对损毁、破坏、侵占、丑化、歪曲、亵渎革命文物等行为进行劝阻、投诉、举报。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旗县级以上人民政府文物行政部门应当畅通投诉、举报渠道，及时受理投诉、举报并依法处理。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新闻媒体应当对革命文物保护利用开展公益宣传，对损害革命文物的行为进行舆论监督。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旗县级以上人民政府可以通过政策引导、资金扶持等措施，鼓励社会组织或者个人以投资、捐助、捐赠、提供专业技术支持、志愿服务等方式参与革命文物保护利用工作。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旗县级以上人民政府应当加强数字化建设及成果运用，发展云展览、云教育，积极实施革命文物云建设工程，推进革命文物数字资源信息开放共享。</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旗县级以上人民政府应当按照国家和自治区有关规定对在革命文物保护利用工作中做出突出贡献的组织和个人给予表彰、奖励。</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调查认定</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旗县级以上人民政府文物行政部门应当实行革命文物定期排查制度，制定革命文物征集计划，加强对革命文物和革命文献档案史料、口述资料的调查征集工作。按照国家有关规定及时把新发现的革命文物纳入保护范畴，做好革命文物的认定、定级、建账、建档等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旗县级以上人民政府有关部门和其他负责革命历史类纪念设施管理的单位应当对已建成的革命历史类纪念设施的报批手续、保护状况、权属情况等进行调查核实，按照国家规定加强规范管理和指导监督工作。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旗县级以上人民政府文物行政部门负责革命文物认定工作。认定革命文物应当开展调查研究，收集相关资料，充分听取宣传、档案、党史和地方志等有关单位和专家意见，召集专门会议研究，根据革命史实和文物价值作出书面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非国有革命文物的认定，应当听取其所有人、使用人以及其他利害关系人的意见。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认定为革命文物的，组织认定的文物行政部门应当及时予以登记，并向上一级人民政府文物行政部门备案。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自治区人民政府文物行政部门应当建立革命文物档案和数据库，对革命文物信息数据进行分级分类管理，实现革命文物信息数据资源的系统保存、科学研究和开放共享。</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革命文物实行名录管理制度。国家公布的革命文物名录由自治区统一组织推荐，其他的由自治区人民政府文物行政部门统一编制，分批次向社会公布。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革命文物名录实行动态管理。列入名录的革命文物有损毁、灭失的，自治区人民政府文物行政部门应当及时调整或者从名录中撤销。</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保护管理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革命文物的保护管理坚持全面保护与重点保护相结合，统筹推进抢救性保护与预防性保护、本体保护与周边环境保护，确保革命文物的历史真实性、风貌完整性和文化延续性。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革命文物分为可移动革命文物和不可移动革命文物，列入名录的革命文物实行分级保护。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不可移动革命文物分为核定公布为文物保护单位的革命文物和尚未核定公布为文物保护单位的不可移动革命文物，其中革命文物保护单位分为全国重点文物保护单位、自治区级文物保护单位、盟市和旗县级文物保护单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可移动革命文物分为珍贵文物和一般文物，其中珍贵文物分为一级文物、二级文物、三级文物。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不可移动革命文物应当按照下列产权归属情况明确保护管理责任人</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（一）国家所有的，其使用人为保护管理责任人</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（二）集体或者个人所有的，其所有人为保护管理责任人</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（三）权属不明确的，由所在地旗县级人民政府指定保护管理责任人。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不可移动革命文物保护管理责任人应当履行下列职责：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（一）开展日常巡查、监测，排查安全隐患；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（二）根据需要组织开展革命文物修缮、环境整治、陈列展示等工作；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（三）做好革命文物本体及其保护标志的日常维护；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（四）定期更新记录档案，实施动态管理；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（五）发现重大安全隐患或者险情，立即向所在地旗县级人民政府文物行政部门报告并采取相应抢救性保护措施；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（六）配合有关部门和单位开展宣传教育、监督检查、修缮修复等工作；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（七）法律、法规规定的其他职责。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旗县级以上人民政府文物行政部门应当对革命文物保护管理责任人履行职责提供技术支持和专业指导。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国有不可移动革命文物濒危或者发生重大险情的，旗县级以上人民政府应当及时组织开展抢救性保护和修缮。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非国有不可移动革命文物有损毁危险，保护管理责任人不具备保护修缮能力的，所在地旗县级以上人民政府应当给予资金和技术支持，或者通过购买、置换、租赁、代管等方式予以保护。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不可移动革命文物的修缮，遵循不改变原状、最小干预的原则，不得损毁、改变主体结构及其附属设施。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对核定为文物保护单位的不可移动革命文物进行修缮，应当根据文物保护单位的级别报请相应的文物行政部门批准。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对尚未核定为文物保护单位的不可移动革命文物进行修缮，应当报请所登记的旗县级人民政府文物行政部门批准。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各级文物保护单位，应当由旗县级以上人民政府根据文物保护单位的类别、规模、内容以及周围环境的历史和现实情况合理划定保护范围，建立记录档案，设置专门机构或者指定专人负责管理。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旗县级以上人民政府文物行政部门应当设立不可移动革命文物保护标志。保护标志应当包含名称、保护级别、史实介绍、设置机关、设置日期等内容。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不可移动革命文物保护标志样式由自治区人民政府文物行政部门统一制定。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在革命文物保护单位的保护范围内，禁止下列行为：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（一）擅自进行建设工程或者爆破、钻探、挖掘等作业；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（二）采石、采矿、开荒、采土、采砂、采伐；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（三）生产、使用或者储存易燃、易爆、放射性、毒害性、腐蚀性等危险物品；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（四）排放污染物，随意倾倒、焚烧垃圾或者其他废物；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（五）刻划、涂污革命文物本体及其附属设施；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（六）损坏革命文物保护设施，损毁、涂污或者擅自移动、拆除革命文物保护标志；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（七）在革命文物所依存的建筑物、构筑物上设置与革命文物无关的广告设施；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（八）着装不当、言行举止不文明等违背公序良俗的行为；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（九）开展与革命文物环境氛围不相协调的经营性、娱乐性活动；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（十）法律、法规禁止的其他行为。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全国重点革命文物保护单位的建设控制地带，经自治区人民政府批准，由自治区人民政府的文物行政部门会同城乡规划行政部门划定并公布。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自治区级、盟市级和旗县级文物保护单位的建设控制地带，经自治区人民政府批准，由核定公布该文物保护单位的人民政府的文物行政部门会同城乡规划行政部门划定并公布。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文物保护单位的保护范围和建设控制地带内，进行旅游服务设施建设和工程建设的，应当遵守国家有关法律、法规和相关技术规范，坚持简朴节约，与革命文物的主题、定位、规模以及历史风貌相符合，不得建设污染文物保护单位及其环境的设施，不得进行可能影响文物保护单位安全及其环境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不可移动革命文物实施原址保护，任何组织或者个人不得擅自迁移、拆除。无法实施原址保护，必须迁移异地保护或者拆除的，应当经批准后方可实施。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建设工程选址应当避开不可移动革命文物；因特殊情况不能避开的，建设单位应当事先确定保护措施，对核定为文物保护单位的不可移动革命文物根据级别报请相应的文物行政部门批准，未经批准的，不得开工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重要事件和重大战斗遗址、遗迹，不得迁移，具有重要影响的烈士事迹发生地等，不得变更。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革命历史类纪念设施新建、改建、扩建，应当按照国家有关规定履行分级报批程序，经批准后方可建设。改建、扩建纪念设施应当以旧址、史实为基础，在展陈内容、时间上不得随意扩展和拉长。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对已不存在的故居、旧址，原则上不得重新建设；反映同一历史人物、历史事件的纪念设施，原则上只能有一处，不得重复申报；对在世人员，不得建设相关纪念设施。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革命历史类纪念设施更改名称、加挂牌子、移址迁建，应当按照国家有关规定履行报批程序。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禁止假借博物馆、党史馆、展览馆、陈列馆、资料馆等名义规避申报程序，自行新建、改建、扩建革命历史类纪念设施。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馆藏革命文物的修复、复制、拍摄、拓印，应当遵守国家有关法律、法规和相关技术规范，不得改变原状，不得对馆藏革命文物造成损害。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旗县级以上人民政府文物行政部门应当指导博物馆、纪念馆和其他收藏革命文物的单位及时抢救修复濒危可移动革命文物，改善藏品保管环境和陈列展览条件，加强可移动革命文物的预防性保护和数字化保护。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禁止国有文物收藏单位将馆藏革命文物赠与、出租或者出售给其他组织或者个人。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国有文物收藏单位之间借用馆藏革命文物，应当报主管的文物行政部门备案。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非国有文物收藏单位和其他单位借用国有馆藏革命文物，应当报主管的文物行政部门批准。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文物收藏单位之间借用文物的最长期限不得超过两年。</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传承利用</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革命文物传承利用应当坚持政治性、思想性、艺术性相统一，坚定历史自信，增强历史主动，弘扬革命文化，坚持守正创新，全面展现中国共产党重大成就和历史经验，全面展现中国共产党人精神谱系。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旗县级以上人民政府及其有关部门应当加强对本行政区域革命文物的研究，深入挖掘革命文物的历史价值和精神内涵，讲好中国故事、中国共产党故事、新时代中国特色社会主义故事，讲好各民族交往交流交融的故事，发挥革命文物资政育人、凝聚力量、推动发展的作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旗县级以上人民政府教育行政部门应当充分利用革命文物资源开展思想道德、优秀传统、文化知识、社会实践等教育教学活动。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各级各类学校应当利用革命文物资源开展日常教学活动，组织学生到旧址、遗址、纪念场所等进行现场教学、主题教育和社会实践等活动。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旗县级以上人民政府应当将革命文物的传承利用纳入本行政区域旅游发展规划，合理确定红色旅游项目展示服务设施的内容和规模，加强基础设施和生态环境建设，培育红色旅游景区，开发红色旅游线路，促进红色旅游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旗县级以上人民政府文化和旅游、退役军人事务、广播电视等部门应当组织推出革命文物题材的舞台艺术、电影、广播、电视、美术、音乐作品以及群众文艺、网络文艺作品，以优秀的文艺作品讲好革命文物故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国家机关、人民团体、企业事业单位、社会组织应当利用革命文物开展党史学习教育、革命传统教育、爱国主义教育和民族团结进步教育。</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Microsoft YaHei UI" w:hAnsi="Microsoft YaHei UI"/>
          <w:sz w:val="32"/>
        </w:rPr>
        <w:t>各级干部教育培训机构和红色教育培训机构在革命文化和革命精神教育课程中，应当运用革命文物开展学习培训、现场教学和志愿服务。</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有博物馆、档案馆、纪念馆、展览馆等相关单位和机构，应当加强革命文物以及相关资料、实物的征集和研究，通过现场展示、网上展馆、网络直播等多种形式推出主题突出、导向鲜明、内涵丰富、具有时代特色的革命文物陈列展览。具备免费开放条件的，按照国家和自治区有关规定免费向社会公众开放。</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Microsoft YaHei UI" w:hAnsi="Microsoft YaHei UI"/>
          <w:sz w:val="32"/>
        </w:rPr>
        <w:t>鼓励其他组织和个人按照有关规定将其所有或者管理的不可移动革命文物向社会公众开放。</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Microsoft YaHei UI" w:hAnsi="Microsoft YaHei UI"/>
          <w:sz w:val="32"/>
        </w:rPr>
        <w:t>鼓励文物收藏单位以外的组织和个人将收藏的可移动革命文物捐赠给国有文物收藏单位或者出借给文物收藏单位展览和研究。</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宣传、文物、党史和地方志等部门和单位应当按照各自职责，对革命文物陈列展览内容和讲解词进行审查和管理，把好政治关和史实关，确保展陈内容和讲解内容的真实性、准确性、完整性和权威性。</w:t>
      </w: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鼓励组织和个人开展革命文物宣传教育、研讨交流以及创意产品研发，编纂、出版、制作革命文物知识读本、理论书籍、影视作品等，推进革命文物的传承利用。</w:t>
      </w:r>
    </w:p>
    <w:p>
      <w:pPr>
        <w:pStyle w:val="P8"/>
        <w:tabs>
          <w:tab w:val="left" w:pos="1260" w:leader="none"/>
          <w:tab w:val="left" w:pos="5355" w:leader="none"/>
        </w:tabs>
        <w:spacing w:lineRule="exact" w:line="560"/>
        <w:ind w:firstLine="640"/>
        <w:rPr>
          <w:rStyle w:val="C3"/>
          <w:rFonts w:ascii="仿宋_GB2312" w:hAnsi="仿宋_GB2312"/>
          <w:sz w:val="32"/>
        </w:rPr>
      </w:pPr>
    </w:p>
    <w:p>
      <w:pPr>
        <w:pStyle w:val="P8"/>
        <w:tabs>
          <w:tab w:val="left" w:pos="1260" w:leader="none"/>
          <w:tab w:val="left" w:pos="5355" w:leader="none"/>
        </w:tabs>
        <w:spacing w:lineRule="exact" w:line="560"/>
        <w:ind w:firstLine="64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60"/>
        <w:ind w:firstLine="640"/>
        <w:rPr>
          <w:rStyle w:val="C3"/>
          <w:rFonts w:ascii="仿宋_GB2312" w:hAnsi="仿宋_GB2312"/>
          <w:sz w:val="32"/>
        </w:rPr>
      </w:pP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违反本条例规定的行为，《中华人民共和国文物保护法》等国家有关法律、法规已经作出具体处罚规定的，从其规定。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违反本条例规定，有下列行为之一的，由旗县级以上人民政府文物行政部门或者其他有关部门责令改正，给予警告；造成损失的，依法承担赔偿责任：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（一）开展与革命文物环境氛围不相协调的经营性、娱乐性活动的；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（二）损坏革命文物保护设施或者在革命文物所依存的建筑物、构筑物上设置与革命文物无关的广告设施的。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违反本条例规定，在革命文物保护管理工作中有下列行为之一的，由有关部门责令改正，给予警告；情节严重的，对直接负责的主管人员和其他直接责任人员依法给予处分：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（一）新建、改建、扩建革命历史类纪念设施未按照规定报批或者未调查核实、违反规定审批的；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（二）革命文物陈列展览内容和讲解词未报有关部门进行审查或者审查不严造成不良影响的；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（三）擅自更改革命历史类纪念设施名称、加挂牌子的。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国家机关及其工作人员在革命文物保护管理工作中未依法履行监督管理职责，滥用职权、玩忽职守、徇私舞弊的，由其上级主管部门、监察机关或者所在单位责令改正、通报批评；造成国家保护的珍贵文物损毁或者流失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2022-12-19T07:28:00Z</dcterms:created>
  <cp:lastModifiedBy>f1TZOF\f1TZOF-</cp:lastModifiedBy>
  <cp:lastPrinted>2022-12-19T08:19:00Z</cp:lastPrinted>
  <dcterms:modified xsi:type="dcterms:W3CDTF">2024-08-28T01:35:38Z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