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E18CDC" Type="http://schemas.openxmlformats.org/officeDocument/2006/relationships/officeDocument" Target="/word/document.xml" /><Relationship Id="coreR6DE18CD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r>
        <w:rPr>
          <w:rStyle w:val="C3"/>
          <w:rFonts w:ascii="宋体" w:hAnsi="宋体"/>
          <w:sz w:val="44"/>
        </w:rPr>
        <w:t>呼和浩特市人民代表大会常务委员会</w:t>
      </w:r>
    </w:p>
    <w:p>
      <w:pPr>
        <w:pStyle w:val="P1"/>
        <w:spacing w:lineRule="atLeast" w:line="580"/>
        <w:jc w:val="center"/>
        <w:rPr>
          <w:rStyle w:val="C3"/>
          <w:rFonts w:ascii="宋体" w:hAnsi="宋体"/>
          <w:sz w:val="44"/>
        </w:rPr>
      </w:pPr>
      <w:r>
        <w:rPr>
          <w:rStyle w:val="C3"/>
          <w:rFonts w:ascii="宋体" w:hAnsi="宋体"/>
          <w:sz w:val="44"/>
        </w:rPr>
        <w:t>讨论决定重大事项的规定</w:t>
      </w:r>
    </w:p>
    <w:p>
      <w:pPr>
        <w:pStyle w:val="P1"/>
        <w:spacing w:lineRule="atLeast" w:line="580"/>
        <w:jc w:val="left"/>
        <w:rPr>
          <w:rStyle w:val="C3"/>
          <w:rFonts w:ascii="楷体_GB2312" w:hAnsi="楷体_GB2312"/>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日呼和浩特市第十一届人民代表大会常务委员会第四十一次会议通过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月２日内蒙古自治区第十一届人民代表大会常务委员会第十九次会议关于批准《呼和浩特市人大常委会关于修改部分地方性法规的决定（二）》的决议修正）</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证市人民代表大会常务委员会（以下简称市人大常委会）依法行使讨论、决定重大事项的职权，根据《中华人民共和国宪法》、《中华人民共和国地方各级人民代表大会和地方各级人民政府组织法》和有关法律法规，结合本市实际，制定本规定。</w:t>
      </w:r>
    </w:p>
    <w:p>
      <w:pPr>
        <w:pStyle w:val="P1"/>
        <w:spacing w:lineRule="atLeas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市人大常委会讨论、决定本行政区域内政治、经济和社会发展各方面带有根本性、全局性、长远性以及与人民群众切身利益密切相关的重大事项，适用本规定。</w:t>
      </w:r>
    </w:p>
    <w:p>
      <w:pPr>
        <w:pStyle w:val="P1"/>
        <w:spacing w:lineRule="atLeas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市人大常委会讨论、决定重大事项，应当加强调查研究，广泛听取各方面的意见，实行民主科学决策。　</w:t>
      </w:r>
    </w:p>
    <w:p>
      <w:pPr>
        <w:pStyle w:val="P1"/>
        <w:spacing w:lineRule="atLeas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下列重大事项应当提请市人大常委会审议，并作出相应的决议或者决定：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（一）保证宪法、法律、法规、上级人民代表大会及其常务委员会和本级人民代表大会的决议、决定在本市贯彻执行的重大措施；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（二）加强民主法制建设、推进依法治市、促进民族团结和维护社会稳定的重大措施；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（三）国民经济和社会发展计划的部分变更及年度计划的部分调整；</w:t>
      </w:r>
    </w:p>
    <w:p>
      <w:pPr>
        <w:pStyle w:val="P1"/>
        <w:spacing w:lineRule="atLeast" w:line="580"/>
        <w:ind w:firstLine="640"/>
        <w:rPr>
          <w:rStyle w:val="C3"/>
          <w:rFonts w:ascii="仿宋_GB2312" w:hAnsi="仿宋_GB2312"/>
          <w:sz w:val="32"/>
        </w:rPr>
      </w:pPr>
      <w:r>
        <w:rPr>
          <w:rStyle w:val="C3"/>
          <w:rFonts w:ascii="Microsoft YaHei UI" w:hAnsi="Microsoft YaHei UI"/>
          <w:sz w:val="32"/>
        </w:rPr>
        <w:t>（四）本级财政预算的部分调整和本级财政决算；</w:t>
      </w:r>
    </w:p>
    <w:p>
      <w:pPr>
        <w:pStyle w:val="P1"/>
        <w:spacing w:lineRule="atLeast" w:line="580"/>
        <w:ind w:firstLine="640"/>
        <w:rPr>
          <w:rStyle w:val="C3"/>
          <w:rFonts w:ascii="仿宋_GB2312" w:hAnsi="仿宋_GB2312"/>
          <w:sz w:val="32"/>
        </w:rPr>
      </w:pPr>
      <w:r>
        <w:rPr>
          <w:rStyle w:val="C3"/>
          <w:rFonts w:ascii="Microsoft YaHei UI" w:hAnsi="Microsoft YaHei UI"/>
          <w:sz w:val="32"/>
        </w:rPr>
        <w:t>（五）教育、科技、文化、卫生等事业发展的重大改革措施；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（六）涉及人口、资源和环境保护等可持续发展方面的重大措施；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（七）城市总体规划和涉及城市性质、规模、发展方向的总体布局的重大变更；</w:t>
      </w:r>
    </w:p>
    <w:p>
      <w:pPr>
        <w:pStyle w:val="P1"/>
        <w:spacing w:lineRule="atLeast" w:line="580"/>
        <w:ind w:firstLine="640"/>
        <w:rPr>
          <w:rStyle w:val="C3"/>
          <w:rFonts w:ascii="仿宋_GB2312" w:hAnsi="仿宋_GB2312"/>
          <w:sz w:val="32"/>
        </w:rPr>
      </w:pPr>
      <w:r>
        <w:rPr>
          <w:rStyle w:val="C3"/>
          <w:rFonts w:ascii="Microsoft YaHei UI" w:hAnsi="Microsoft YaHei UI"/>
          <w:sz w:val="32"/>
        </w:rPr>
        <w:t>（八）确定全市性节日、纪念日和市标、市树、市花等标志；</w:t>
      </w:r>
    </w:p>
    <w:p>
      <w:pPr>
        <w:pStyle w:val="P1"/>
        <w:spacing w:lineRule="atLeast" w:line="580"/>
        <w:ind w:firstLine="640"/>
        <w:rPr>
          <w:rStyle w:val="C3"/>
          <w:rFonts w:ascii="仿宋_GB2312" w:hAnsi="仿宋_GB2312"/>
          <w:sz w:val="32"/>
        </w:rPr>
      </w:pPr>
      <w:r>
        <w:rPr>
          <w:rStyle w:val="C3"/>
          <w:rFonts w:ascii="Microsoft YaHei UI" w:hAnsi="Microsoft YaHei UI"/>
          <w:sz w:val="32"/>
        </w:rPr>
        <w:t>（九）与国外缔结友好城市，授予或者撤销荣誉市民等荣誉称号；</w:t>
      </w:r>
    </w:p>
    <w:p>
      <w:pPr>
        <w:pStyle w:val="P1"/>
        <w:spacing w:lineRule="atLeast" w:line="580"/>
        <w:ind w:firstLine="640"/>
        <w:rPr>
          <w:rStyle w:val="C3"/>
          <w:rFonts w:ascii="仿宋_GB2312" w:hAnsi="仿宋_GB2312"/>
          <w:sz w:val="32"/>
        </w:rPr>
      </w:pPr>
      <w:r>
        <w:rPr>
          <w:rStyle w:val="C3"/>
          <w:rFonts w:ascii="Microsoft YaHei UI" w:hAnsi="Microsoft YaHei UI"/>
          <w:sz w:val="32"/>
        </w:rPr>
        <w:t>（十）市人民检察院检察长因不同意检察委员会多数人的意见而报请市人大常委会决定的重大问题；</w:t>
      </w:r>
    </w:p>
    <w:p>
      <w:pPr>
        <w:pStyle w:val="P1"/>
        <w:spacing w:lineRule="atLeast" w:line="580"/>
        <w:ind w:firstLine="640"/>
        <w:rPr>
          <w:rStyle w:val="C3"/>
          <w:rFonts w:ascii="仿宋_GB2312" w:hAnsi="仿宋_GB2312"/>
          <w:sz w:val="32"/>
        </w:rPr>
      </w:pPr>
      <w:r>
        <w:rPr>
          <w:rStyle w:val="C3"/>
          <w:rFonts w:ascii="Microsoft YaHei UI" w:hAnsi="Microsoft YaHei UI"/>
          <w:sz w:val="32"/>
        </w:rPr>
        <w:t>（十一）法律、法规规定或者市人民代表大会及其常务委员会认为需要由市人大常委会决定的其他重大事项。</w:t>
      </w:r>
    </w:p>
    <w:p>
      <w:pPr>
        <w:pStyle w:val="P1"/>
        <w:spacing w:lineRule="atLeas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下列重大事项应当向市人大常委会报告，市人大常委会可以提出审议意见，必要时也可以作出决议或者决定：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（一）国民经济和社会发展计划、财政预算执行情况；本级财政预算超收部分及预算外资金使用、管理情况；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（二）国民经济建设布局、产业结构调整的重要情况；</w:t>
      </w:r>
      <w:r>
        <w:rPr>
          <w:rStyle w:val="C3"/>
          <w:rFonts w:ascii="仿宋_GB2312" w:hAnsi="仿宋_GB2312"/>
          <w:sz w:val="32"/>
        </w:rPr>
        <w:t xml:space="preserve">  </w:t>
      </w:r>
      <w:r>
        <w:rPr>
          <w:rStyle w:val="C3"/>
          <w:rFonts w:ascii="Microsoft YaHei UI" w:hAnsi="Microsoft YaHei UI"/>
          <w:sz w:val="32"/>
        </w:rPr>
        <w:t>（三）本级财政预算执行和其他财政收支的审计情况及审计后的使用、管理情况；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（四）教育、卫生、扶贫、救灾和地方病防治等专项资金的使用、管理情况；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（五）有财政和国债资金投资的重大项目的立项、建设情况；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（六）对环境和资源有影响的重大建设工程的立项和建设情况；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（七）土地利用总体规划、年度利用计划和城镇体系规划、城市规划、控制性详细规划的执行情况；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（八）养老、失业、医疗、工伤和生育等社会保障基金以及住房公积金的收缴、使用、管理情况；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（九）名胜古迹保护方面的重大措施；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（十）市辖行政区域的划分、调整情况；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（十一）市人民政府工作部门的设立和变动情况；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（十二）给国家、集体和人民生命财产造成重大损失的事故及其他重大突发性事件的处理情况；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（十三）市人民代表大会选举或者市人大常委会任命的国家机关工作人员重大违法案件及处理情况；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（十四）法律、法规规定或者市人大常委会认为需要报告的其他重大事项。</w:t>
      </w:r>
    </w:p>
    <w:p>
      <w:pPr>
        <w:pStyle w:val="P1"/>
        <w:spacing w:lineRule="atLeas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市人大常委会主任会议、市人民政府、市中级人民法院、市人民检察院、市人大各专门委员会以及市人大常委会组成人员五人以上联名，可以向市人大常委会提出有关重大事项的议案。</w:t>
      </w:r>
    </w:p>
    <w:p>
      <w:pPr>
        <w:pStyle w:val="P1"/>
        <w:spacing w:lineRule="atLeast" w:line="580"/>
        <w:ind w:firstLine="640"/>
        <w:rPr>
          <w:rStyle w:val="C3"/>
          <w:rFonts w:ascii="仿宋_GB2312" w:hAnsi="仿宋_GB2312"/>
          <w:sz w:val="32"/>
        </w:rPr>
      </w:pPr>
      <w:r>
        <w:rPr>
          <w:rStyle w:val="C3"/>
          <w:rFonts w:ascii="Microsoft YaHei UI" w:hAnsi="Microsoft YaHei UI"/>
          <w:sz w:val="32"/>
        </w:rPr>
        <w:t>市人民政府、市中级人民法院、市人民检察院可以向市人大常委会提出有关重大事项的报告。市人大常委会主任会议、市人大各专门委员会、市人大常委会组成人员五人以上联名可以要求市人民政府、市中级人民法院、市人民检察院向市人大常委会报告有关重大事项。</w:t>
      </w:r>
    </w:p>
    <w:p>
      <w:pPr>
        <w:pStyle w:val="P1"/>
        <w:spacing w:lineRule="atLeas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拟提请市人大常委会审议并作决议、决定或者向市人大常委会报告的重大事项，应当在每年年初提出，临时提出的重大事项议案或者报告，应当在市人大常委会会议举行七日前送交市人大常委会办公厅。</w:t>
      </w:r>
    </w:p>
    <w:p>
      <w:pPr>
        <w:pStyle w:val="P1"/>
        <w:spacing w:lineRule="atLeas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提请市人大常委会审议的重大事项议案或者报告，包括以下主要内容：</w:t>
      </w:r>
    </w:p>
    <w:p>
      <w:pPr>
        <w:pStyle w:val="P1"/>
        <w:spacing w:lineRule="atLeast" w:line="580"/>
        <w:ind w:firstLine="640"/>
        <w:rPr>
          <w:rStyle w:val="C3"/>
          <w:rFonts w:ascii="仿宋_GB2312" w:hAnsi="仿宋_GB2312"/>
          <w:sz w:val="32"/>
        </w:rPr>
      </w:pPr>
      <w:r>
        <w:rPr>
          <w:rStyle w:val="C3"/>
          <w:rFonts w:ascii="Microsoft YaHei UI" w:hAnsi="Microsoft YaHei UI"/>
          <w:sz w:val="32"/>
        </w:rPr>
        <w:t>（一）该重大事项的基本情况和需要解决的问题；</w:t>
      </w:r>
    </w:p>
    <w:p>
      <w:pPr>
        <w:pStyle w:val="P1"/>
        <w:spacing w:lineRule="atLeast" w:line="580"/>
        <w:ind w:firstLine="640"/>
        <w:rPr>
          <w:rStyle w:val="C3"/>
          <w:rFonts w:ascii="仿宋_GB2312" w:hAnsi="仿宋_GB2312"/>
          <w:sz w:val="32"/>
        </w:rPr>
      </w:pPr>
      <w:r>
        <w:rPr>
          <w:rStyle w:val="C3"/>
          <w:rFonts w:ascii="Microsoft YaHei UI" w:hAnsi="Microsoft YaHei UI"/>
          <w:sz w:val="32"/>
        </w:rPr>
        <w:t>（二）与该重大事项有关的法律、法规、规章和政策依据；</w:t>
      </w:r>
    </w:p>
    <w:p>
      <w:pPr>
        <w:pStyle w:val="P1"/>
        <w:spacing w:lineRule="atLeast" w:line="580"/>
        <w:ind w:firstLine="640"/>
        <w:rPr>
          <w:rStyle w:val="C3"/>
          <w:rFonts w:ascii="仿宋_GB2312" w:hAnsi="仿宋_GB2312"/>
          <w:sz w:val="32"/>
        </w:rPr>
      </w:pPr>
      <w:r>
        <w:rPr>
          <w:rStyle w:val="C3"/>
          <w:rFonts w:ascii="Microsoft YaHei UI" w:hAnsi="Microsoft YaHei UI"/>
          <w:sz w:val="32"/>
        </w:rPr>
        <w:t>（三）决策方案及其可行性说明；</w:t>
      </w:r>
    </w:p>
    <w:p>
      <w:pPr>
        <w:pStyle w:val="P1"/>
        <w:spacing w:lineRule="atLeast" w:line="580"/>
        <w:ind w:firstLine="640"/>
        <w:rPr>
          <w:rStyle w:val="C3"/>
          <w:rFonts w:ascii="仿宋_GB2312" w:hAnsi="仿宋_GB2312"/>
          <w:sz w:val="32"/>
        </w:rPr>
      </w:pPr>
      <w:r>
        <w:rPr>
          <w:rStyle w:val="C3"/>
          <w:rFonts w:ascii="Microsoft YaHei UI" w:hAnsi="Microsoft YaHei UI"/>
          <w:sz w:val="32"/>
        </w:rPr>
        <w:t>（四）与该重大事项有关的统计数据、调查论证报告等资料。</w:t>
      </w:r>
    </w:p>
    <w:p>
      <w:pPr>
        <w:pStyle w:val="P1"/>
        <w:spacing w:lineRule="atLeas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重大事项议案或者报告的提出、审议、表决程序，按照《呼和浩特市人民代表大会常务委员会议事规则》的有关规定执行。</w:t>
      </w:r>
    </w:p>
    <w:p>
      <w:pPr>
        <w:pStyle w:val="P1"/>
        <w:spacing w:lineRule="atLeas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市人大常委会主任会议决定不提请市人大常委会审议的议案或者报告，由市人大常委会主任会议向市人大常委会报告或者向提案人说明。</w:t>
      </w:r>
    </w:p>
    <w:p>
      <w:pPr>
        <w:pStyle w:val="P1"/>
        <w:spacing w:lineRule="atLeas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市人大常委会关于重大事项的决议、决定，有关国家机关应当遵守执行，并在规定的时间内向市人大常委会报告执行情况。执行时间较长的，可以分阶段报告。</w:t>
      </w:r>
    </w:p>
    <w:p>
      <w:pPr>
        <w:pStyle w:val="P1"/>
        <w:spacing w:lineRule="atLeast" w:line="580"/>
        <w:ind w:firstLine="640"/>
        <w:rPr>
          <w:rStyle w:val="C3"/>
          <w:rFonts w:ascii="仿宋_GB2312" w:hAnsi="仿宋_GB2312"/>
          <w:sz w:val="32"/>
        </w:rPr>
      </w:pPr>
      <w:r>
        <w:rPr>
          <w:rStyle w:val="C3"/>
          <w:rFonts w:ascii="Microsoft YaHei UI" w:hAnsi="Microsoft YaHei UI"/>
          <w:sz w:val="32"/>
        </w:rPr>
        <w:t>市人大常委会审议重大事项报告时提出的意见，由市人大常委会办公厅以书面形式交有关国家机关办理。有关国家机关应当按照市人大常委会的要求，及时报告办理情况。</w:t>
      </w:r>
    </w:p>
    <w:p>
      <w:pPr>
        <w:pStyle w:val="P1"/>
        <w:spacing w:lineRule="atLeas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人大专门委员会、常委会工作委员会可以对市人大常委会作出的有关重大事项决议、决定的贯彻执行情况进行检查，并向市人大常委会主任会议提出报告，主任会议可以根据情况决定是否提请市人大常委会审议。</w:t>
      </w:r>
    </w:p>
    <w:p>
      <w:pPr>
        <w:pStyle w:val="P1"/>
        <w:spacing w:lineRule="atLeas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依照本规定应当提请市人大常委会讨论、决定的重大事项，有关国家机关自行作出决定的，由市人大常委会责令其纠正或者依法予以撤销。</w:t>
      </w:r>
    </w:p>
    <w:p>
      <w:pPr>
        <w:pStyle w:val="P1"/>
        <w:spacing w:lineRule="atLeast" w:line="580"/>
        <w:ind w:firstLine="640"/>
        <w:rPr>
          <w:rStyle w:val="C3"/>
          <w:rFonts w:ascii="仿宋_GB2312" w:hAnsi="仿宋_GB2312"/>
          <w:sz w:val="32"/>
        </w:rPr>
      </w:pPr>
      <w:r>
        <w:rPr>
          <w:rStyle w:val="C3"/>
          <w:rFonts w:ascii="Microsoft YaHei UI" w:hAnsi="Microsoft YaHei UI"/>
          <w:sz w:val="32"/>
        </w:rPr>
        <w:t>依照本规定应当向市人大常委会报告的重大事项，有关国家机关未按照要求报告的，由市人大常委会责令其限期报告。</w:t>
      </w:r>
    </w:p>
    <w:p>
      <w:pPr>
        <w:pStyle w:val="P1"/>
        <w:spacing w:lineRule="atLeas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本规定自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atLeas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2013-03-06T07:17:00Z</dcterms:created>
  <cp:lastModifiedBy>f1TZOF\f1TZOF-</cp:lastModifiedBy>
  <dcterms:modified xsi:type="dcterms:W3CDTF">2024-08-28T01:35:38Z</dcterms:modified>
  <cp:revision>6</cp:revision>
  <dc:title>呼和浩特市人民代表大会常务委员会</dc:title>
</cp:coreProperties>
</file>