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CE17BA" Type="http://schemas.openxmlformats.org/officeDocument/2006/relationships/officeDocument" Target="/word/document.xml" /><Relationship Id="coreR15CE17BA" Type="http://schemas.openxmlformats.org/package/2006/relationships/metadata/core-properties" Target="/docProps/core.xml" /><Relationship Id="customR15CE17B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spacing w:lineRule="exact" w:line="580"/>
        <w:jc w:val="both"/>
        <w:rPr>
          <w:rStyle w:val="C3"/>
          <w:rFonts w:ascii="宋体" w:hAnsi="宋体"/>
          <w:b w:val="1"/>
          <w:sz w:val="32"/>
        </w:rPr>
      </w:pPr>
    </w:p>
    <w:p>
      <w:pPr>
        <w:pStyle w:val="P4"/>
        <w:spacing w:lineRule="exact" w:line="580"/>
        <w:jc w:val="center"/>
        <w:rPr>
          <w:rStyle w:val="C3"/>
          <w:rFonts w:ascii="宋体" w:hAnsi="宋体"/>
          <w:b w:val="1"/>
          <w:sz w:val="32"/>
        </w:rPr>
      </w:pPr>
    </w:p>
    <w:p>
      <w:pPr>
        <w:pStyle w:val="P4"/>
        <w:spacing w:lineRule="exact" w:line="58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桓仁满族自治县封山育林管理条例</w:t>
      </w:r>
    </w:p>
    <w:p>
      <w:pPr>
        <w:pStyle w:val="P4"/>
        <w:spacing w:lineRule="exact" w:line="580"/>
        <w:ind w:left="960" w:right="960"/>
        <w:rPr>
          <w:rStyle w:val="C3"/>
          <w:rFonts w:ascii="宋体" w:hAnsi="宋体"/>
          <w:sz w:val="32"/>
        </w:rPr>
      </w:pP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（2000年1月15日桓仁满族自治县第三届人民代表大</w:t>
      </w: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 xml:space="preserve">会第三次会议通过  2000年3月30日辽宁省第九届人</w:t>
      </w: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民代表大会常务委员会第十五次会议批准 2000年3月</w:t>
      </w: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30日桓仁满族自治县第三届人民代表大会常务委员会</w:t>
      </w: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 xml:space="preserve">公布施行  2020年12月25日桓仁满族自治县第七届</w:t>
      </w: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 xml:space="preserve">人民代表大会第五次会议通过修改  2021年9月29日</w:t>
      </w: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>辽宁省第第十三届人民代表大会常务委员会第二十八</w:t>
      </w:r>
    </w:p>
    <w:p>
      <w:pPr>
        <w:pStyle w:val="P4"/>
        <w:spacing w:lineRule="exact" w:line="580"/>
        <w:ind w:firstLine="640"/>
        <w:rPr>
          <w:rStyle w:val="C3"/>
          <w:rFonts w:ascii="楷体" w:hAnsi="楷体"/>
          <w:sz w:val="32"/>
        </w:rPr>
      </w:pPr>
      <w:r>
        <w:rPr>
          <w:rStyle w:val="C3"/>
          <w:rFonts w:ascii="楷体" w:hAnsi="楷体"/>
          <w:sz w:val="32"/>
        </w:rPr>
        <w:t xml:space="preserve">次会议批准） </w:t>
        <w:br w:type="textWrapping"/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 xml:space="preserve">第一条  </w:t>
      </w:r>
      <w:r>
        <w:rPr>
          <w:rStyle w:val="C3"/>
          <w:rFonts w:ascii="仿宋" w:hAnsi="仿宋"/>
          <w:sz w:val="32"/>
        </w:rPr>
        <w:t xml:space="preserve">为了保护和培育森林资源，根据《中华人民共和国森林法》、《辽宁省&lt;实施中华人民共和国森林法&gt;办法》，结合自治县实际，制定本条例。 </w:t>
      </w:r>
    </w:p>
    <w:p>
      <w:pPr>
        <w:pStyle w:val="P4"/>
        <w:spacing w:lineRule="exact" w:line="58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第二条  </w:t>
      </w:r>
      <w:r>
        <w:rPr>
          <w:rStyle w:val="C3"/>
          <w:rFonts w:ascii="仿宋" w:hAnsi="仿宋"/>
          <w:sz w:val="32"/>
        </w:rPr>
        <w:t xml:space="preserve">自治县人民政府林业行政主管部门主管封山育林工作，有关部门协助做好封山育林工作。乡（镇）人民政府、国有林场具体管理封山育林。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 xml:space="preserve">第三条  </w:t>
      </w:r>
      <w:r>
        <w:rPr>
          <w:rStyle w:val="C3"/>
          <w:rFonts w:ascii="仿宋" w:hAnsi="仿宋"/>
          <w:sz w:val="32"/>
        </w:rPr>
        <w:t>封山育林坚持“总体规划，统筹兼顾，以封为主，封育结合”的原则。封山育林规划由乡（镇）人民政府，国有林场负责编制，报自治县人民政府审批后实施。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 xml:space="preserve">第四条  </w:t>
      </w:r>
      <w:r>
        <w:rPr>
          <w:rStyle w:val="C3"/>
          <w:rFonts w:ascii="仿宋" w:hAnsi="仿宋"/>
          <w:sz w:val="32"/>
        </w:rPr>
        <w:t xml:space="preserve">凡具备下列条件之一的林木、林地，均应列入封山育林规划：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（一）幼龄林：落叶松10年生以下、红松13年生以下、刺槐3年生以下的人工林；10年生以下的天然林； </w:t>
      </w:r>
    </w:p>
    <w:p>
      <w:pPr>
        <w:pStyle w:val="P4"/>
        <w:spacing w:lineRule="exact" w:line="58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   （二）具有天然下种或萌蘖能力强的疏林、灌丛、采伐迹地；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（三）高山、陡坡、岩石裸露及跳石塘地段的林木；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（四）森林公园、保护区、旅游区、风景名胜区的森林和林木；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（五）公路沿线、水库周围和浑江、富尔江、雅河、六河、哈达河、里叉沟河、漏河两岸第一层山脊内的迎面坡；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（六）护岸林；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（七）县、乡（镇）人民政府及村民委员会所在地第一层山脊内的迎面坡；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（八）种植林下参的林地。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</w:t>
      </w:r>
      <w:r>
        <w:rPr>
          <w:rStyle w:val="C3"/>
          <w:rFonts w:ascii="黑体" w:hAnsi="黑体"/>
          <w:sz w:val="32"/>
        </w:rPr>
        <w:t xml:space="preserve">第五条  </w:t>
      </w:r>
      <w:r>
        <w:rPr>
          <w:rStyle w:val="C3"/>
          <w:rFonts w:ascii="仿宋" w:hAnsi="仿宋"/>
          <w:sz w:val="32"/>
        </w:rPr>
        <w:t xml:space="preserve">封山育林采取全封、半封或轮封方式。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《条例》第四条的（二）、（三）、（四）、（六）项，以及（一）、（五）、（七）项株数不足，生长不良的地段实行全封。封育期间，禁止采伐、放牧和其他一切不利于林木生长繁育的人为活动。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《条例》第四条的（一）、（五）、（七）项有一定目的树种，生长良好，密度较大的地段实行半封。在林木主要生长季节实行封禁，其余时间在严格保护目的树种幼苗、幼树的前提下，可以有计划地进行割柴、割草、采药等活动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轮封是将封育区划片分段，轮流封禁，适用于当地群众生产、生活、烧柴有困难的地方。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种植林下参的封育区根据其生长情况和生态习性确定封育方式。 </w:t>
      </w:r>
    </w:p>
    <w:p>
      <w:pPr>
        <w:pStyle w:val="P4"/>
        <w:spacing w:lineRule="exact" w:line="58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 xml:space="preserve">    第六条 </w:t>
      </w:r>
      <w:r>
        <w:rPr>
          <w:rStyle w:val="C3"/>
          <w:rFonts w:ascii="仿宋" w:hAnsi="仿宋"/>
          <w:sz w:val="32"/>
        </w:rPr>
        <w:t xml:space="preserve"> 封育期限为8至10年，封育期满由乡（镇）人民政府、国有林场申报，自治县林业行政主管部门验收，达到封育标准的，可以解封，未达到的续封；未经批准不得擅自解封，特殊情况经乡（镇）人民政府、国有林场申请，由自治县人民政府批准。 </w:t>
      </w:r>
    </w:p>
    <w:p>
      <w:pPr>
        <w:pStyle w:val="P4"/>
        <w:spacing w:lineRule="exact" w:line="58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 xml:space="preserve">第七条 </w:t>
      </w:r>
      <w:r>
        <w:rPr>
          <w:rStyle w:val="C3"/>
          <w:rFonts w:ascii="仿宋" w:hAnsi="仿宋"/>
          <w:sz w:val="32"/>
        </w:rPr>
        <w:t xml:space="preserve"> 封山育林区应边界清楚，面积准确，图表一致，设立标牌，订立制度，落实责任，建档造册，由乡（镇）人民政府、国有林场负责，报自治县林业行政主管部门批准。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第八条</w:t>
      </w:r>
      <w:r>
        <w:rPr>
          <w:rStyle w:val="C3"/>
          <w:rFonts w:ascii="仿宋" w:hAnsi="仿宋"/>
          <w:sz w:val="32"/>
        </w:rPr>
        <w:t xml:space="preserve">  对封山育林区应因地制宜采取人工促进天然更新、人工补植等培育管理措施；村民自留山是荒山的可自选树种造林，纳入封山。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第九条</w:t>
      </w:r>
      <w:r>
        <w:rPr>
          <w:rStyle w:val="C3"/>
          <w:rFonts w:ascii="仿宋" w:hAnsi="仿宋"/>
          <w:sz w:val="32"/>
        </w:rPr>
        <w:t xml:space="preserve">  封山育林区禁止开荒种地、放牧；未经批准不得挖土、采石、采砂、开矿改变林地用途。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第十条</w:t>
      </w:r>
      <w:r>
        <w:rPr>
          <w:rStyle w:val="C3"/>
          <w:rFonts w:ascii="仿宋" w:hAnsi="仿宋"/>
          <w:sz w:val="32"/>
        </w:rPr>
        <w:t xml:space="preserve">  实行专职护林与群众护林相结合。每2000亩左右封山育林面积配备一名专职护林员。护林员由封山单位民主推荐，乡（镇）人民政府、国有林场批准，报自治县林业行政主管部门备案。国有林场、村民委员会依据有关法律、法规，建立护林组织，结合本场、村的实际，制定护林公约，公布于众，严格执行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第十一条</w:t>
      </w:r>
      <w:r>
        <w:rPr>
          <w:rStyle w:val="C3"/>
          <w:rFonts w:ascii="仿宋" w:hAnsi="仿宋"/>
          <w:sz w:val="32"/>
        </w:rPr>
        <w:t xml:space="preserve">  护林员的职责 </w:t>
      </w:r>
    </w:p>
    <w:p>
      <w:pPr>
        <w:pStyle w:val="P4"/>
        <w:spacing w:lineRule="exact" w:line="58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   （一）宣传贯彻有关保护森林资源的法律、法规。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（二）巡护山林，有权制止盗伐、滥伐林木、随意在野外用火、非法猎取列入保护的野生动物等破坏森林资源行为，并有权送交或报告有关部门依法处理。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第十二条</w:t>
      </w:r>
      <w:r>
        <w:rPr>
          <w:rStyle w:val="C3"/>
          <w:rFonts w:ascii="仿宋" w:hAnsi="仿宋"/>
          <w:sz w:val="32"/>
        </w:rPr>
        <w:t xml:space="preserve">  烧柴实行按年按户限量，按自治县人民政府的规定，分别由乡（镇）林业站、国有林场批准。 </w:t>
      </w:r>
    </w:p>
    <w:p>
      <w:pPr>
        <w:pStyle w:val="P4"/>
        <w:spacing w:lineRule="exact" w:line="58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   烧柴不准砍伐用材林，可由速生薪炭林，采伐、造材、加工剩余物和在承包山林内割灌木解决。提倡烧秸杆茬子、蒿草树叶。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推行建节能炕灶，实行多能互补、开发利用新能源。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第十三条</w:t>
      </w:r>
      <w:r>
        <w:rPr>
          <w:rStyle w:val="C3"/>
          <w:rFonts w:ascii="仿宋" w:hAnsi="仿宋"/>
          <w:sz w:val="32"/>
        </w:rPr>
        <w:t xml:space="preserve">  在封山育林管理工作中，有下列情形之一的单位或个人，由乡（镇）或自治县人民政府给予表扬或奖励。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（一）护林员严格履行职责，护林工作成绩突出的；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（二）发现破坏森林资源等违法犯罪行为，敢于制止并及时报告有关部门或检举有功的；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（三）发现林火，迅速组织群众扑救并及时报告，明显减少火灾损失的；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（四）研究、推广节柴新技术，降低耗能效果显著的。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第十四条</w:t>
      </w:r>
      <w:r>
        <w:rPr>
          <w:rStyle w:val="C3"/>
          <w:rFonts w:ascii="仿宋" w:hAnsi="仿宋"/>
          <w:sz w:val="32"/>
        </w:rPr>
        <w:t xml:space="preserve">  护林员在护林工作中，发现破坏森林资源的违法行为不制止、不报告，徇私枉法，监守自盗的，依照相关规定给予处分；情节严重、触犯刑律的由司法机关依法处理。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第十五条</w:t>
      </w:r>
      <w:r>
        <w:rPr>
          <w:rStyle w:val="C3"/>
          <w:rFonts w:ascii="仿宋" w:hAnsi="仿宋"/>
          <w:sz w:val="32"/>
        </w:rPr>
        <w:t xml:space="preserve">  违反本条例有下列行为之一的，给予如下处罚：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（一）盗伐、滥伐林木的，按《中华人民共和国森林法》有关规定处罚。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二）在封山育林区开垦、挖土、采石、采砂的，造成林木毁坏的，责令停止违法行为，限期在原地或者异地补种毁坏株数二倍的树木，可以处毁坏林木价值三倍罚款；造成林地毁坏的，责令停止违法行为，限期恢复植被和林业生产条件，可以处恢复植被和林业生产条件所需费用二倍罚款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（三）在封山育林区内放牧、擅自割柴的，责令其赔偿损失。毁坏规定目的树种幼苗、幼树的，按有关林业法规处罚。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>（四）</w:t>
      </w:r>
      <w:r>
        <w:rPr>
          <w:rStyle w:val="C3"/>
          <w:rFonts w:ascii="方正姚体" w:hAnsi="方正姚体"/>
          <w:b w:val="0"/>
          <w:color w:val="auto"/>
          <w:sz w:val="32"/>
        </w:rPr>
        <w:t>擅自移动或损坏护林标志和设施的，责令限期恢复原状；逾期不恢复原状的，由林业主管部门代为恢复，所需费用由违法者承担。</w:t>
      </w:r>
      <w:r>
        <w:rPr>
          <w:rStyle w:val="C3"/>
          <w:rFonts w:ascii="仿宋" w:hAnsi="仿宋"/>
          <w:sz w:val="32"/>
        </w:rPr>
        <w:t xml:space="preserve">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第十六条</w:t>
      </w:r>
      <w:r>
        <w:rPr>
          <w:rStyle w:val="C3"/>
          <w:rFonts w:ascii="仿宋" w:hAnsi="仿宋"/>
          <w:sz w:val="32"/>
        </w:rPr>
        <w:t xml:space="preserve">  对拒绝、阻挠管理人员依法执行公务的，由公安机关依据《中华人民共和国治安管理处罚法》处罚，构成犯罪的由司法机关依法追究刑事责任。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第十七条</w:t>
      </w:r>
      <w:r>
        <w:rPr>
          <w:rStyle w:val="C3"/>
          <w:rFonts w:ascii="仿宋" w:hAnsi="仿宋"/>
          <w:sz w:val="32"/>
        </w:rPr>
        <w:t xml:space="preserve">  行政执法人员滥用职权、玩忽职守、徇私枉法的，由所在单位或上级主管部门给予行政处分，构成犯罪的由司法机关追究刑事责任。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第十八条</w:t>
      </w:r>
      <w:r>
        <w:rPr>
          <w:rStyle w:val="C3"/>
          <w:rFonts w:ascii="仿宋" w:hAnsi="仿宋"/>
          <w:sz w:val="32"/>
        </w:rPr>
        <w:t xml:space="preserve">  实施行政处罚时，按《中华人民共和国行政处罚法》规定程序执行。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第十九条</w:t>
      </w:r>
      <w:r>
        <w:rPr>
          <w:rStyle w:val="C3"/>
          <w:rFonts w:ascii="仿宋" w:hAnsi="仿宋"/>
          <w:sz w:val="32"/>
        </w:rPr>
        <w:t xml:space="preserve">  当事人对行政处罚不服的，按《中华人民共和国行政复议法》规定程序执行。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  <w:r>
        <w:rPr>
          <w:rStyle w:val="C3"/>
          <w:rFonts w:ascii="黑体" w:hAnsi="黑体"/>
          <w:sz w:val="32"/>
        </w:rPr>
        <w:t>第二十条</w:t>
      </w:r>
      <w:r>
        <w:rPr>
          <w:rStyle w:val="C3"/>
          <w:rFonts w:ascii="仿宋" w:hAnsi="仿宋"/>
          <w:sz w:val="32"/>
        </w:rPr>
        <w:t xml:space="preserve">  本条例在实施中的具体问题由自治县人民政府负责解释。 </w:t>
      </w:r>
    </w:p>
    <w:p>
      <w:pPr>
        <w:pStyle w:val="P4"/>
        <w:spacing w:lineRule="exact" w:line="58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   </w:t>
      </w:r>
      <w:r>
        <w:rPr>
          <w:rStyle w:val="C3"/>
          <w:rFonts w:ascii="黑体" w:hAnsi="黑体"/>
          <w:sz w:val="32"/>
        </w:rPr>
        <w:t>第二十一条</w:t>
      </w:r>
      <w:r>
        <w:rPr>
          <w:rStyle w:val="C3"/>
          <w:rFonts w:ascii="仿宋" w:hAnsi="仿宋"/>
          <w:sz w:val="32"/>
        </w:rPr>
        <w:t xml:space="preserve">  本条例自二000年三月三十日起实行。 </w:t>
      </w:r>
    </w:p>
    <w:p>
      <w:pPr>
        <w:pStyle w:val="P4"/>
        <w:spacing w:lineRule="exact" w:line="580"/>
        <w:ind w:firstLine="640"/>
        <w:rPr>
          <w:rStyle w:val="C3"/>
          <w:rFonts w:ascii="仿宋" w:hAnsi="仿宋"/>
          <w:sz w:val="32"/>
        </w:rPr>
      </w:pPr>
    </w:p>
    <w:p>
      <w:pPr>
        <w:pStyle w:val="P1"/>
        <w:rPr>
          <w:rStyle w:val="C3"/>
          <w:sz w:val="28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right="0"/>
        <w:rPr>
          <w:rStyle w:val="C3"/>
          <w:rFonts w:ascii="宋体" w:hAnsi="宋体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right="0"/>
        <w:rPr>
          <w:rStyle w:val="C3"/>
          <w:rFonts w:ascii="宋体" w:hAnsi="宋体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p>
      <w:pPr>
        <w:pStyle w:val="P1"/>
        <w:keepNext w:val="0"/>
        <w:keepLines w:val="0"/>
        <w:widowControl w:val="0"/>
        <w:spacing w:lineRule="exact" w:line="640" w:before="0" w:after="0"/>
        <w:ind w:left="0" w:right="0"/>
        <w:jc w:val="center"/>
        <w:rPr>
          <w:rStyle w:val="C3"/>
          <w:rFonts w:ascii="黑体" w:hAnsi="黑体"/>
          <w:b w:val="0"/>
          <w:sz w:val="4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474" w:top="2154" w:bottom="1361" w:header="0" w:footer="1077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="-16" w:y="1"/>
      <w:tabs>
        <w:tab w:val="center" w:pos="4153" w:leader="none"/>
        <w:tab w:val="right" w:pos="8306" w:leader="none"/>
      </w:tabs>
      <w:spacing w:lineRule="exact" w:line="480"/>
      <w:jc w:val="left"/>
      <w:rPr>
        <w:rStyle w:val="C4"/>
        <w:sz w:val="28"/>
      </w:rPr>
    </w:pPr>
    <w:r>
      <w:rPr>
        <w:rStyle w:val="C3"/>
        <w:sz w:val="28"/>
      </w:rPr>
      <w:t xml:space="preserve">  — </w:t>
    </w:r>
    <w:r>
      <w:rPr>
        <w:rStyle w:val="C3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 PAGE 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sz w:val="28"/>
      </w:rPr>
      <w:t xml:space="preserve"> —</w:t>
    </w:r>
  </w:p>
  <w:p>
    <w:pPr>
      <w:pStyle w:val="P9"/>
      <w:tabs>
        <w:tab w:val="left" w:pos="1050" w:leader="none"/>
        <w:tab w:val="clear" w:pos="4153" w:leader="none"/>
        <w:tab w:val="clear" w:pos="8306" w:leader="none"/>
      </w:tabs>
      <w:ind w:right="360"/>
    </w:pPr>
    <w:r>
      <w:tab/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framePr w:wrap="around" w:vAnchor="text" w:hAnchor="margin" w:x="-16" w:y="1"/>
      <w:tabs>
        <w:tab w:val="center" w:pos="4153" w:leader="none"/>
        <w:tab w:val="right" w:pos="8306" w:leader="none"/>
      </w:tabs>
      <w:jc w:val="both"/>
      <w:rPr>
        <w:rStyle w:val="C4"/>
        <w:sz w:val="28"/>
      </w:rPr>
    </w:pPr>
  </w:p>
  <w:p>
    <w:pPr>
      <w:pStyle w:val="P9"/>
      <w:tabs>
        <w:tab w:val="center" w:pos="4153" w:leader="none"/>
        <w:tab w:val="right" w:pos="8306" w:leader="none"/>
      </w:tabs>
      <w:ind w:right="360"/>
      <w:jc w:val="both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  <w:r>
      <w:t xml:space="preserve"> -</w: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32"/>
    </w:rPr>
  </w:style>
  <w:style w:type="paragraph" w:styleId="P2">
    <w:name w:val="ck?e New New New New New New New New New New New New Ne"/>
    <w:next w:val="P2"/>
    <w:pPr/>
    <w:rPr/>
  </w:style>
  <w:style w:type="paragraph" w:styleId="P3">
    <w:name w:val="ck?e New New New New New New New New New New "/>
    <w:next w:val="P3"/>
    <w:pPr/>
    <w:rPr/>
  </w:style>
  <w:style w:type="paragraph" w:styleId="P4">
    <w:name w:val="ck?e New New New New New New New New New "/>
    <w:next w:val="P4"/>
    <w:pPr/>
    <w:rPr/>
  </w:style>
  <w:style w:type="paragraph" w:styleId="P5">
    <w:name w:val="ck?e New New New New New New New New New New Ne"/>
    <w:next w:val="P5"/>
    <w:pPr/>
    <w:rPr/>
  </w:style>
  <w:style w:type="paragraph" w:styleId="P6">
    <w:name w:val="正文文本缩进"/>
    <w:basedOn w:val="P1"/>
    <w:next w:val="P6"/>
    <w:pPr>
      <w:tabs>
        <w:tab w:val="left" w:pos="8800" w:leader="none"/>
      </w:tabs>
      <w:spacing w:lineRule="exact" w:line="620"/>
      <w:ind w:firstLine="630"/>
    </w:pPr>
    <w:rPr/>
  </w:style>
  <w:style w:type="paragraph" w:styleId="P7">
    <w:name w:val="日期"/>
    <w:basedOn w:val="P1"/>
    <w:next w:val="P1"/>
    <w:pPr>
      <w:ind w:left="100"/>
    </w:pPr>
    <w:rPr>
      <w:sz w:val="30"/>
    </w:rPr>
  </w:style>
  <w:style w:type="paragraph" w:styleId="P8">
    <w:name w:val="批注框文本"/>
    <w:basedOn w:val="P1"/>
    <w:next w:val="P8"/>
    <w:pPr/>
    <w:rPr>
      <w:sz w:val="18"/>
    </w:rPr>
  </w:style>
  <w:style w:type="paragraph" w:styleId="P9">
    <w:name w:val="页脚"/>
    <w:basedOn w:val="P1"/>
    <w:next w:val="P9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0">
    <w:name w:val="页眉"/>
    <w:basedOn w:val="P1"/>
    <w:next w:val="P10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1">
    <w:name w:val="Char1"/>
    <w:basedOn w:val="P1"/>
    <w:next w:val="P11"/>
    <w:link w:val="C3"/>
    <w:pPr/>
    <w:rPr/>
  </w:style>
  <w:style w:type="paragraph" w:styleId="P12">
    <w:name w:val="Char"/>
    <w:basedOn w:val="P1"/>
    <w:next w:val="P12"/>
    <w:pPr>
      <w:widowControl w:val="1"/>
      <w:spacing w:lineRule="exact" w:line="240" w:after="160"/>
      <w:jc w:val="left"/>
    </w:pPr>
    <w:rPr>
      <w:rFonts w:ascii="Times New Roman" w:hAnsi="Times New Roman"/>
      <w:sz w:val="36"/>
    </w:rPr>
  </w:style>
  <w:style w:type="paragraph" w:styleId="P13">
    <w:name w:val="p0"/>
    <w:basedOn w:val="P1"/>
    <w:next w:val="P13"/>
    <w:pPr>
      <w:widowControl w:val="1"/>
    </w:pPr>
    <w:rPr/>
  </w:style>
  <w:style w:type="paragraph" w:styleId="P14">
    <w:name w:val="正文文本缩进 New"/>
    <w:basedOn w:val="P1"/>
    <w:next w:val="P14"/>
    <w:pPr>
      <w:ind w:firstLine="883"/>
    </w:pPr>
    <w:rPr>
      <w:rFonts w:ascii="宋体" w:hAnsi="宋体"/>
      <w:b w:val="1"/>
      <w:sz w:val="4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1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cyh</dc:creator>
  <dcterms:created xsi:type="dcterms:W3CDTF">2013-11-05T10:45:00Z</dcterms:created>
  <cp:lastModifiedBy>f1TZOF\f1TZOF-</cp:lastModifiedBy>
  <cp:lastPrinted>2020-12-18T14:38:00Z</cp:lastPrinted>
  <dcterms:modified xsi:type="dcterms:W3CDTF">2024-08-28T01:35:42Z</dcterms:modified>
  <cp:revision>2</cp:revision>
  <dc:title>桓政[2003]号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2052-11.8.2.10386</vt:lpwstr>
  </property>
  <property fmtid="{D5CDD505-2E9C-101B-9397-08002B2CF9AE}" pid="3" name="ICV">
    <vt:lpwstr>27E6D4A707D444CF8D09AEF0975B2905</vt:lpwstr>
  </property>
</Properties>
</file>