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B896488" Type="http://schemas.openxmlformats.org/officeDocument/2006/relationships/officeDocument" Target="/word/document.xml" /><Relationship Id="coreR3B896488" Type="http://schemas.openxmlformats.org/package/2006/relationships/metadata/core-properties" Target="/docProps/core.xml" /><Relationship Id="customR3B896488"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8"/>
        <w:rPr>
          <w:rStyle w:val="C3"/>
          <w:rFonts w:ascii="黑体" w:hAnsi="黑体"/>
          <w:b w:val="1"/>
          <w:sz w:val="40"/>
        </w:rPr>
      </w:pPr>
    </w:p>
    <w:p>
      <w:pPr>
        <w:pStyle w:val="P1"/>
        <w:spacing w:lineRule="exact" w:line="578"/>
        <w:jc w:val="center"/>
        <w:rPr>
          <w:rStyle w:val="C3"/>
          <w:rFonts w:ascii="方正小标宋简体" w:hAnsi="方正小标宋简体"/>
          <w:b w:val="1"/>
          <w:sz w:val="44"/>
        </w:rPr>
      </w:pPr>
      <w:r>
        <w:rPr>
          <w:rStyle w:val="C3"/>
          <w:rFonts w:ascii="Microsoft YaHei UI" w:hAnsi="Microsoft YaHei UI"/>
          <w:b w:val="1"/>
          <w:sz w:val="44"/>
        </w:rPr>
        <w:t>白城市城市绿化条例</w:t>
      </w:r>
    </w:p>
    <w:p>
      <w:pPr>
        <w:pStyle w:val="P1"/>
        <w:spacing w:lineRule="exact" w:line="578"/>
        <w:jc w:val="center"/>
        <w:rPr>
          <w:rStyle w:val="C3"/>
          <w:rFonts w:ascii="楷体_GB2312" w:hAnsi="楷体_GB2312"/>
          <w:sz w:val="24"/>
        </w:rPr>
      </w:pPr>
    </w:p>
    <w:p>
      <w:pPr>
        <w:pStyle w:val="P1"/>
        <w:spacing w:lineRule="exact" w:line="578"/>
        <w:jc w:val="left"/>
        <w:rPr>
          <w:rStyle w:val="C3"/>
          <w:rFonts w:ascii="楷体_GB2312" w:hAnsi="楷体_GB2312"/>
          <w:sz w:val="32"/>
        </w:rPr>
      </w:pPr>
      <w:r>
        <w:rPr>
          <w:rStyle w:val="C3"/>
          <w:rFonts w:ascii="楷体_GB2312" w:hAnsi="楷体_GB2312"/>
          <w:sz w:val="32"/>
        </w:rPr>
        <w:t xml:space="preserve">    </w:t>
      </w:r>
      <w:r>
        <w:rPr>
          <w:rStyle w:val="C3"/>
          <w:rFonts w:ascii="Microsoft YaHei UI" w:hAnsi="Microsoft YaHei UI"/>
          <w:sz w:val="32"/>
        </w:rPr>
        <w:t>（</w:t>
      </w:r>
      <w:r>
        <w:rPr>
          <w:rStyle w:val="C3"/>
          <w:rFonts w:ascii="楷体_GB2312" w:hAnsi="楷体_GB2312"/>
          <w:sz w:val="32"/>
        </w:rPr>
        <w:t>2019</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日白城市第六届人民代表大会常务委员会第二十三次会议通过</w:t>
      </w:r>
      <w:r>
        <w:rPr>
          <w:rStyle w:val="C3"/>
          <w:rFonts w:ascii="楷体_GB2312" w:hAnsi="楷体_GB2312"/>
          <w:sz w:val="32"/>
        </w:rPr>
        <w:t xml:space="preserve"> 2020</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24</w:t>
      </w:r>
      <w:r>
        <w:rPr>
          <w:rStyle w:val="C3"/>
          <w:rFonts w:ascii="Microsoft YaHei UI" w:hAnsi="Microsoft YaHei UI"/>
          <w:sz w:val="32"/>
        </w:rPr>
        <w:t>日吉林省第十三届人民代表大会常务委员会第二十次会议批准）</w:t>
      </w:r>
    </w:p>
    <w:p>
      <w:pPr>
        <w:pStyle w:val="P1"/>
        <w:spacing w:lineRule="exact" w:line="578"/>
        <w:jc w:val="left"/>
        <w:rPr>
          <w:rStyle w:val="C3"/>
          <w:rFonts w:ascii="楷体_GB2312" w:hAnsi="楷体_GB2312"/>
          <w:sz w:val="32"/>
        </w:rPr>
      </w:pPr>
    </w:p>
    <w:p>
      <w:pPr>
        <w:pStyle w:val="P1"/>
        <w:spacing w:lineRule="exact" w:line="578"/>
        <w:jc w:val="center"/>
        <w:rPr>
          <w:rStyle w:val="C3"/>
          <w:rFonts w:ascii="仿宋_GB2312" w:hAnsi="仿宋_GB2312"/>
          <w:sz w:val="32"/>
        </w:rPr>
      </w:pPr>
      <w:r>
        <w:rPr>
          <w:rStyle w:val="C3"/>
          <w:rFonts w:ascii="黑体" w:hAnsi="黑体"/>
          <w:sz w:val="32"/>
        </w:rPr>
        <w:t xml:space="preserve">第一章 总   则</w:t>
      </w:r>
    </w:p>
    <w:p>
      <w:pPr>
        <w:pStyle w:val="P1"/>
        <w:spacing w:lineRule="exact" w:line="578"/>
        <w:rPr>
          <w:rStyle w:val="C3"/>
          <w:rFonts w:ascii="仿宋_GB2312" w:hAnsi="仿宋_GB2312"/>
          <w:b w:val="1"/>
          <w:sz w:val="32"/>
        </w:rPr>
      </w:pPr>
    </w:p>
    <w:p>
      <w:pPr>
        <w:pStyle w:val="P1"/>
        <w:spacing w:lineRule="exact" w:line="578"/>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为了促进城市绿化事业发展，保护和改善生态环境，建设生态宜居的园林城市，根据有关法律、法规，结合本市实际，制定本条例。</w:t>
      </w:r>
    </w:p>
    <w:p>
      <w:pPr>
        <w:pStyle w:val="P1"/>
        <w:spacing w:lineRule="exact" w:line="578"/>
        <w:ind w:firstLine="640"/>
        <w:rPr>
          <w:rStyle w:val="C3"/>
          <w:rFonts w:ascii="仿宋_GB2312" w:hAnsi="仿宋_GB2312"/>
          <w:sz w:val="32"/>
        </w:rPr>
      </w:pPr>
      <w:r>
        <w:rPr>
          <w:rStyle w:val="C3"/>
          <w:rFonts w:ascii="黑体" w:hAnsi="黑体"/>
          <w:sz w:val="32"/>
        </w:rPr>
        <w:t xml:space="preserve">第二条  </w:t>
      </w:r>
      <w:r>
        <w:rPr>
          <w:rStyle w:val="C3"/>
          <w:rFonts w:ascii="Microsoft YaHei UI" w:hAnsi="Microsoft YaHei UI"/>
          <w:sz w:val="32"/>
          <w:shd w:val="clear" w:color="auto" w:fill="FFFFFF"/>
        </w:rPr>
        <w:t>本条例适用于本市城市规划区内城市绿化的规划、建设、管理和保护。</w:t>
      </w:r>
    </w:p>
    <w:p>
      <w:pPr>
        <w:pStyle w:val="P1"/>
        <w:spacing w:lineRule="exact" w:line="578"/>
        <w:ind w:firstLine="640"/>
        <w:rPr>
          <w:rStyle w:val="C3"/>
          <w:rFonts w:ascii="仿宋_GB2312" w:hAnsi="仿宋_GB2312"/>
          <w:b w:val="1"/>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城市绿化应当遵循政府主导、社会参与、科学规划、生态优先、因地制宜和建管并重的原则。</w:t>
      </w:r>
    </w:p>
    <w:p>
      <w:pPr>
        <w:pStyle w:val="P1"/>
        <w:spacing w:lineRule="exact" w:line="578"/>
        <w:ind w:firstLine="627"/>
        <w:rPr>
          <w:rStyle w:val="C3"/>
          <w:rFonts w:ascii="仿宋_GB2312" w:hAnsi="仿宋_GB2312"/>
          <w:b w:val="1"/>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市、县（市、区）人民政府城市绿化行政主管部门负责本辖区的城市绿化工作。</w:t>
      </w:r>
    </w:p>
    <w:p>
      <w:pPr>
        <w:pStyle w:val="P1"/>
        <w:spacing w:lineRule="exact" w:line="578"/>
        <w:ind w:firstLine="640"/>
        <w:rPr>
          <w:rStyle w:val="C3"/>
          <w:rFonts w:ascii="仿宋_GB2312" w:hAnsi="仿宋_GB2312"/>
          <w:sz w:val="32"/>
        </w:rPr>
      </w:pPr>
      <w:r>
        <w:rPr>
          <w:rStyle w:val="C3"/>
          <w:rFonts w:ascii="Microsoft YaHei UI" w:hAnsi="Microsoft YaHei UI"/>
          <w:sz w:val="32"/>
        </w:rPr>
        <w:t>各有关部门按照各自职责分工做好城市绿化相关工作。</w:t>
      </w:r>
    </w:p>
    <w:p>
      <w:pPr>
        <w:pStyle w:val="P1"/>
        <w:spacing w:lineRule="exact" w:line="578"/>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市、县（市、区）人民政府应当逐年增加辖区内城市绿地面积，并将城市绿化的建设和维护纳入国民经济和社会发展计划，安排专项资金，用于城市绿化。</w:t>
      </w:r>
    </w:p>
    <w:p>
      <w:pPr>
        <w:pStyle w:val="P1"/>
        <w:spacing w:lineRule="exact" w:line="578"/>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市、县（市、区）人民政府应当组织开展全民义务植树等群众性绿化活动。</w:t>
      </w:r>
    </w:p>
    <w:p>
      <w:pPr>
        <w:pStyle w:val="P1"/>
        <w:spacing w:lineRule="exact" w:line="578"/>
        <w:ind w:firstLine="640"/>
        <w:rPr>
          <w:rStyle w:val="C3"/>
          <w:rFonts w:ascii="仿宋_GB2312" w:hAnsi="仿宋_GB2312"/>
          <w:sz w:val="32"/>
        </w:rPr>
      </w:pPr>
      <w:r>
        <w:rPr>
          <w:rStyle w:val="C3"/>
          <w:rFonts w:ascii="Microsoft YaHei UI" w:hAnsi="Microsoft YaHei UI"/>
          <w:sz w:val="32"/>
        </w:rPr>
        <w:t>城市中的单位和有劳动能力的公民，应当依照国家有关规定履行植树或者其他绿化义务。</w:t>
      </w:r>
    </w:p>
    <w:p>
      <w:pPr>
        <w:pStyle w:val="P1"/>
        <w:spacing w:lineRule="exact" w:line="578"/>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市、县（市、区）人民政府应当鼓励和加强城市绿化的科学研究和科技成果转化应用，推广城市绿化先进技术，优化城市绿化结构，增强城市绿化的科学性和观赏性。</w:t>
      </w:r>
    </w:p>
    <w:p>
      <w:pPr>
        <w:pStyle w:val="P1"/>
        <w:spacing w:lineRule="exact" w:line="578"/>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对于破坏绿化及其设施的行为，任何单位和个人都有权劝阻、投诉和举报。</w:t>
      </w:r>
    </w:p>
    <w:p>
      <w:pPr>
        <w:pStyle w:val="P1"/>
        <w:spacing w:lineRule="exact" w:line="578"/>
        <w:ind w:firstLine="640"/>
        <w:rPr>
          <w:rStyle w:val="C3"/>
          <w:rFonts w:ascii="仿宋_GB2312" w:hAnsi="仿宋_GB2312"/>
          <w:sz w:val="32"/>
        </w:rPr>
      </w:pPr>
      <w:r>
        <w:rPr>
          <w:rStyle w:val="C3"/>
          <w:rFonts w:ascii="Microsoft YaHei UI" w:hAnsi="Microsoft YaHei UI"/>
          <w:sz w:val="32"/>
        </w:rPr>
        <w:t>市、县（市、区）人民政府对在城市绿化中作出显著贡献的单位和个人，应当给予表彰和奖励。</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第二章 规划和建设</w:t>
      </w:r>
    </w:p>
    <w:p>
      <w:pPr>
        <w:pStyle w:val="P1"/>
        <w:spacing w:lineRule="exact" w:line="578"/>
        <w:rPr>
          <w:rStyle w:val="C3"/>
          <w:rFonts w:ascii="黑体" w:hAnsi="黑体"/>
          <w:b w:val="1"/>
          <w:sz w:val="32"/>
        </w:rPr>
      </w:pPr>
    </w:p>
    <w:p>
      <w:pPr>
        <w:pStyle w:val="P1"/>
        <w:spacing w:lineRule="exact" w:line="578"/>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市、县（市、区）人民政府应当组织城市规划行政主管部门和城市绿化行政主管部门共同编制城市绿地系统专项规划，划定城市绿线，并纳入国土空间规划。</w:t>
      </w:r>
    </w:p>
    <w:p>
      <w:pPr>
        <w:pStyle w:val="P1"/>
        <w:spacing w:lineRule="exact" w:line="578"/>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城市绿地系统专项规划确定的各类用地按照国家有关规定实施绿线管理。</w:t>
      </w:r>
    </w:p>
    <w:p>
      <w:pPr>
        <w:pStyle w:val="P1"/>
        <w:spacing w:lineRule="exact" w:line="578"/>
        <w:ind w:firstLine="640"/>
        <w:rPr>
          <w:rStyle w:val="C3"/>
          <w:rFonts w:ascii="仿宋_GB2312" w:hAnsi="仿宋_GB2312"/>
          <w:sz w:val="32"/>
        </w:rPr>
      </w:pPr>
      <w:r>
        <w:rPr>
          <w:rStyle w:val="C3"/>
          <w:rFonts w:ascii="Microsoft YaHei UI" w:hAnsi="Microsoft YaHei UI"/>
          <w:sz w:val="32"/>
        </w:rPr>
        <w:t>已划定的城市绿线，不得擅自调整。确需调整的，应当按照法定审批程序报批。城市绿线调整后不得减少绿地的总量。</w:t>
      </w:r>
    </w:p>
    <w:p>
      <w:pPr>
        <w:pStyle w:val="P1"/>
        <w:spacing w:lineRule="exact" w:line="578"/>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建设项目的绿化用地指标，应当符合绿地系统专项规划规定的绿地率控制要求，严格按照国家有关规定的标准执行。</w:t>
      </w:r>
    </w:p>
    <w:p>
      <w:pPr>
        <w:pStyle w:val="P1"/>
        <w:spacing w:lineRule="exact" w:line="578"/>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城市绿地应以植物造景为主，居住区绿地、单位附属绿地、道路绿地的植物种植面积不得低于国家标准。</w:t>
      </w:r>
    </w:p>
    <w:p>
      <w:pPr>
        <w:pStyle w:val="P1"/>
        <w:spacing w:lineRule="exact" w:line="578"/>
        <w:ind w:firstLine="640"/>
        <w:rPr>
          <w:rStyle w:val="C3"/>
          <w:rFonts w:ascii="仿宋_GB2312" w:hAnsi="仿宋_GB2312"/>
          <w:sz w:val="32"/>
        </w:rPr>
      </w:pPr>
      <w:r>
        <w:rPr>
          <w:rStyle w:val="C3"/>
          <w:rFonts w:ascii="Microsoft YaHei UI" w:hAnsi="Microsoft YaHei UI"/>
          <w:sz w:val="32"/>
        </w:rPr>
        <w:t>城市绿地内道路、广场等区域的硬铺装应优先采用透气、透水、防滑材料。鼓励在行道树下建设具有雨水收集功能的植物种植池。</w:t>
      </w:r>
    </w:p>
    <w:p>
      <w:pPr>
        <w:pStyle w:val="P1"/>
        <w:spacing w:lineRule="exact" w:line="578"/>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城市绿化应选用适应本市自然条件、符合本市地域特色、经济合理的植物种类，优先选用抗性强的乡土树种，均衡配置乔木、亚乔木、灌木、地被植物及花卉，推广使用下沉式绿地，注重植物群落的多样性、合理性。</w:t>
      </w:r>
    </w:p>
    <w:p>
      <w:pPr>
        <w:pStyle w:val="P1"/>
        <w:spacing w:lineRule="exact" w:line="578"/>
        <w:ind w:firstLine="640"/>
        <w:rPr>
          <w:rStyle w:val="C3"/>
          <w:rFonts w:ascii="仿宋_GB2312" w:hAnsi="仿宋_GB2312"/>
          <w:sz w:val="32"/>
        </w:rPr>
      </w:pPr>
      <w:r>
        <w:rPr>
          <w:rStyle w:val="C3"/>
          <w:rFonts w:ascii="Microsoft YaHei UI" w:hAnsi="Microsoft YaHei UI"/>
          <w:sz w:val="32"/>
        </w:rPr>
        <w:t>城市绿化行政主管部门应组织有关机构和专家，编制适合本市生长的树种名录，引进植物品种应当防止有害植物入侵。</w:t>
      </w:r>
    </w:p>
    <w:p>
      <w:pPr>
        <w:pStyle w:val="P1"/>
        <w:spacing w:lineRule="exact" w:line="578"/>
        <w:ind w:firstLine="640"/>
        <w:rPr>
          <w:rStyle w:val="C3"/>
          <w:rFonts w:ascii="仿宋_GB2312" w:hAnsi="仿宋_GB2312"/>
          <w:sz w:val="32"/>
          <w:shd w:val="clear" w:color="auto" w:fill="FFFFFF"/>
        </w:rPr>
      </w:pPr>
      <w:r>
        <w:rPr>
          <w:rStyle w:val="C3"/>
          <w:rFonts w:ascii="黑体" w:hAnsi="黑体"/>
          <w:sz w:val="32"/>
          <w:shd w:val="clear" w:color="auto" w:fill="FFFFFF"/>
        </w:rPr>
        <w:t>第十四条</w:t>
      </w: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鼓励在新建的公共建筑发展屋顶绿化、垂直绿化等多种形式的立体绿化。</w:t>
      </w:r>
    </w:p>
    <w:p>
      <w:pPr>
        <w:pStyle w:val="P1"/>
        <w:spacing w:lineRule="exact" w:line="578"/>
        <w:ind w:firstLine="640"/>
        <w:rPr>
          <w:rStyle w:val="C3"/>
          <w:rFonts w:ascii="仿宋_GB2312" w:hAnsi="仿宋_GB2312"/>
          <w:sz w:val="32"/>
        </w:rPr>
      </w:pPr>
      <w:r>
        <w:rPr>
          <w:rStyle w:val="C3"/>
          <w:rFonts w:ascii="Microsoft YaHei UI" w:hAnsi="Microsoft YaHei UI"/>
          <w:sz w:val="32"/>
          <w:shd w:val="clear" w:color="auto" w:fill="FFFFFF"/>
        </w:rPr>
        <w:t>室外公共停车场、停车位具备绿化条件的，应当配植庇荫乔木、绿化隔离带，铺设植草地坪。</w:t>
      </w:r>
    </w:p>
    <w:p>
      <w:pPr>
        <w:pStyle w:val="P1"/>
        <w:spacing w:lineRule="exact" w:line="578"/>
        <w:ind w:firstLine="640"/>
        <w:rPr>
          <w:rStyle w:val="C3"/>
          <w:rFonts w:ascii="仿宋_GB2312" w:hAnsi="仿宋_GB2312"/>
          <w:sz w:val="32"/>
        </w:rPr>
      </w:pPr>
      <w:r>
        <w:rPr>
          <w:rStyle w:val="C3"/>
          <w:rFonts w:ascii="黑体" w:hAnsi="黑体"/>
          <w:sz w:val="32"/>
        </w:rPr>
        <w:t xml:space="preserve">第十五条  </w:t>
      </w:r>
      <w:r>
        <w:rPr>
          <w:rStyle w:val="C3"/>
          <w:rFonts w:ascii="Microsoft YaHei UI" w:hAnsi="Microsoft YaHei UI"/>
          <w:sz w:val="32"/>
          <w:shd w:val="clear" w:color="auto" w:fill="FFFFFF"/>
        </w:rPr>
        <w:t>工程建设项目的附属绿化工程设计方案，按照基本建设程序审批时，必须有城市绿化行政主管部门参加审查</w:t>
      </w:r>
      <w:r>
        <w:rPr>
          <w:rStyle w:val="C3"/>
          <w:rFonts w:ascii="Microsoft YaHei UI" w:hAnsi="Microsoft YaHei UI"/>
          <w:sz w:val="32"/>
        </w:rPr>
        <w:t>。</w:t>
      </w:r>
    </w:p>
    <w:p>
      <w:pPr>
        <w:pStyle w:val="P1"/>
        <w:spacing w:lineRule="exact" w:line="578"/>
        <w:ind w:firstLine="640"/>
        <w:rPr>
          <w:rStyle w:val="C3"/>
          <w:rFonts w:ascii="仿宋_GB2312" w:hAnsi="仿宋_GB2312"/>
          <w:sz w:val="32"/>
        </w:rPr>
      </w:pPr>
      <w:r>
        <w:rPr>
          <w:rStyle w:val="C3"/>
          <w:rFonts w:ascii="Microsoft YaHei UI" w:hAnsi="Microsoft YaHei UI"/>
          <w:sz w:val="32"/>
        </w:rPr>
        <w:t>建设单位应当按照批准通过的设计方案进行施工。设计方案确需改变时，须经原审批机关按照法定程序重新审批。</w:t>
      </w:r>
    </w:p>
    <w:p>
      <w:pPr>
        <w:pStyle w:val="P1"/>
        <w:spacing w:lineRule="exact" w:line="578"/>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工程建设项目附属的绿化工程应当与主体工程同步规划和设计，并在主体工程投入使用的一年内完成。</w:t>
      </w:r>
    </w:p>
    <w:p>
      <w:pPr>
        <w:pStyle w:val="P1"/>
        <w:spacing w:lineRule="exact" w:line="578"/>
        <w:ind w:firstLine="640"/>
        <w:rPr>
          <w:rStyle w:val="C3"/>
          <w:rFonts w:ascii="仿宋_GB2312" w:hAnsi="仿宋_GB2312"/>
          <w:sz w:val="32"/>
        </w:rPr>
      </w:pPr>
      <w:r>
        <w:rPr>
          <w:rStyle w:val="C3"/>
          <w:rFonts w:ascii="Microsoft YaHei UI" w:hAnsi="Microsoft YaHei UI"/>
          <w:sz w:val="32"/>
        </w:rPr>
        <w:t>绿化工程竣工后，建设单位应及时组织设计、施工、监理等单位进行竣工验收。建设单位应当在竣工验收合格后十五个工作日内，将竣工验收资料报送城市绿化行政主管部门备案。</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第三章 管理和保护</w:t>
      </w:r>
    </w:p>
    <w:p>
      <w:pPr>
        <w:pStyle w:val="P1"/>
        <w:spacing w:lineRule="exact" w:line="578"/>
        <w:rPr>
          <w:rStyle w:val="C3"/>
          <w:rFonts w:ascii="黑体" w:hAnsi="黑体"/>
          <w:b w:val="1"/>
          <w:sz w:val="32"/>
        </w:rPr>
      </w:pPr>
    </w:p>
    <w:p>
      <w:pPr>
        <w:pStyle w:val="P1"/>
        <w:spacing w:lineRule="exact" w:line="578"/>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城市绿化管理责任按下列规定划分：</w:t>
      </w:r>
    </w:p>
    <w:p>
      <w:pPr>
        <w:pStyle w:val="P1"/>
        <w:spacing w:lineRule="exact" w:line="578"/>
        <w:ind w:firstLine="640"/>
        <w:rPr>
          <w:rStyle w:val="C3"/>
          <w:rFonts w:ascii="仿宋_GB2312" w:hAnsi="仿宋_GB2312"/>
          <w:sz w:val="32"/>
        </w:rPr>
      </w:pPr>
      <w:r>
        <w:rPr>
          <w:rStyle w:val="C3"/>
          <w:rFonts w:ascii="Microsoft YaHei UI" w:hAnsi="Microsoft YaHei UI"/>
          <w:sz w:val="32"/>
        </w:rPr>
        <w:t>（一）公共绿地、道路绿化中的树木和绿地，由城市绿化行政主管部门的所属机构或者委托的相关单位负责；</w:t>
      </w:r>
    </w:p>
    <w:p>
      <w:pPr>
        <w:pStyle w:val="P1"/>
        <w:spacing w:lineRule="exact" w:line="578"/>
        <w:ind w:firstLine="640"/>
        <w:rPr>
          <w:rStyle w:val="C3"/>
          <w:rFonts w:ascii="仿宋_GB2312" w:hAnsi="仿宋_GB2312"/>
          <w:sz w:val="32"/>
        </w:rPr>
      </w:pPr>
      <w:r>
        <w:rPr>
          <w:rStyle w:val="C3"/>
          <w:rFonts w:ascii="Microsoft YaHei UI" w:hAnsi="Microsoft YaHei UI"/>
          <w:sz w:val="32"/>
        </w:rPr>
        <w:t>（二）居住区绿地，实行物业管理的，由业主委托的物业服务企业负责；未实行物业管理的，由街道办事处、乡镇人民政府负责，或者由城市绿化行政主管部门根据实际情况确定的单位负责；</w:t>
      </w:r>
    </w:p>
    <w:p>
      <w:pPr>
        <w:pStyle w:val="P1"/>
        <w:spacing w:lineRule="exact" w:line="578"/>
        <w:ind w:firstLine="640"/>
        <w:rPr>
          <w:rStyle w:val="C3"/>
          <w:rFonts w:ascii="仿宋_GB2312" w:hAnsi="仿宋_GB2312"/>
          <w:sz w:val="32"/>
        </w:rPr>
      </w:pPr>
      <w:r>
        <w:rPr>
          <w:rStyle w:val="C3"/>
          <w:rFonts w:ascii="Microsoft YaHei UI" w:hAnsi="Microsoft YaHei UI"/>
          <w:sz w:val="32"/>
        </w:rPr>
        <w:t>（三）单位附属绿地由该单位负责；</w:t>
      </w:r>
    </w:p>
    <w:p>
      <w:pPr>
        <w:pStyle w:val="P1"/>
        <w:spacing w:lineRule="exact" w:line="578"/>
        <w:ind w:firstLine="640"/>
        <w:rPr>
          <w:rStyle w:val="C3"/>
          <w:rFonts w:ascii="仿宋_GB2312" w:hAnsi="仿宋_GB2312"/>
          <w:sz w:val="32"/>
        </w:rPr>
      </w:pPr>
      <w:r>
        <w:rPr>
          <w:rStyle w:val="C3"/>
          <w:rFonts w:ascii="Microsoft YaHei UI" w:hAnsi="Microsoft YaHei UI"/>
          <w:sz w:val="32"/>
        </w:rPr>
        <w:t>（四）铁路、公路、河流、水库等用地范围内的绿地，由有关单位负责；</w:t>
      </w:r>
    </w:p>
    <w:p>
      <w:pPr>
        <w:pStyle w:val="P1"/>
        <w:spacing w:lineRule="exact" w:line="578"/>
        <w:ind w:firstLine="640"/>
        <w:rPr>
          <w:rStyle w:val="C3"/>
          <w:rFonts w:ascii="仿宋_GB2312" w:hAnsi="仿宋_GB2312"/>
          <w:sz w:val="32"/>
        </w:rPr>
      </w:pPr>
      <w:r>
        <w:rPr>
          <w:rStyle w:val="C3"/>
          <w:rFonts w:ascii="Microsoft YaHei UI" w:hAnsi="Microsoft YaHei UI"/>
          <w:sz w:val="32"/>
        </w:rPr>
        <w:t>（五）建设工程范围内保留的绿地，在建设期间由建设单位负责；</w:t>
      </w:r>
    </w:p>
    <w:p>
      <w:pPr>
        <w:pStyle w:val="P1"/>
        <w:spacing w:lineRule="exact" w:line="578"/>
        <w:ind w:firstLine="640"/>
        <w:rPr>
          <w:rStyle w:val="C3"/>
          <w:rFonts w:ascii="仿宋_GB2312" w:hAnsi="仿宋_GB2312"/>
          <w:sz w:val="32"/>
        </w:rPr>
      </w:pPr>
      <w:r>
        <w:rPr>
          <w:rStyle w:val="C3"/>
          <w:rFonts w:ascii="Microsoft YaHei UI" w:hAnsi="Microsoft YaHei UI"/>
          <w:sz w:val="32"/>
        </w:rPr>
        <w:t>（六）苗圃、草圃等生产绿地，由经营者负责；</w:t>
      </w:r>
    </w:p>
    <w:p>
      <w:pPr>
        <w:pStyle w:val="P1"/>
        <w:spacing w:lineRule="exact" w:line="578"/>
        <w:ind w:firstLine="640"/>
        <w:rPr>
          <w:rStyle w:val="C3"/>
          <w:rFonts w:ascii="仿宋_GB2312" w:hAnsi="仿宋_GB2312"/>
          <w:sz w:val="32"/>
        </w:rPr>
      </w:pPr>
      <w:r>
        <w:rPr>
          <w:rStyle w:val="C3"/>
          <w:rFonts w:ascii="Microsoft YaHei UI" w:hAnsi="Microsoft YaHei UI"/>
          <w:sz w:val="32"/>
        </w:rPr>
        <w:t>（七）权属不明的绿地和树木，由所在市、县（市、区）人民政府确定的责任单位负责。</w:t>
      </w:r>
    </w:p>
    <w:p>
      <w:pPr>
        <w:pStyle w:val="P1"/>
        <w:spacing w:lineRule="exact" w:line="578"/>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城市绿化行政主管部门应当对绿地、树木的管护给予技术指导。绿化管理责任单位应当按照相关行业养护规范对绿地、树木进行管护并做好防火工作。</w:t>
      </w:r>
    </w:p>
    <w:p>
      <w:pPr>
        <w:pStyle w:val="P1"/>
        <w:spacing w:lineRule="exact" w:line="578"/>
        <w:ind w:firstLine="640"/>
        <w:rPr>
          <w:rStyle w:val="C3"/>
          <w:rFonts w:ascii="仿宋_GB2312" w:hAnsi="仿宋_GB2312"/>
          <w:sz w:val="32"/>
        </w:rPr>
      </w:pPr>
      <w:r>
        <w:rPr>
          <w:rStyle w:val="C3"/>
          <w:rFonts w:ascii="Microsoft YaHei UI" w:hAnsi="Microsoft YaHei UI"/>
          <w:sz w:val="32"/>
        </w:rPr>
        <w:t>绿化管理责任单位应当建立城市绿化管理档案，做好植物病虫害防治工作，发现树木死亡、发生病虫害和存在安全隐患的，及时向城市绿化行政主管部门报告，在专业技术人员指导下清理、消杀并补植更新。</w:t>
      </w:r>
    </w:p>
    <w:p>
      <w:pPr>
        <w:pStyle w:val="P1"/>
        <w:spacing w:lineRule="exact" w:line="578"/>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城市绿化行政主管部门应当会同相关部门和专家制定树木修剪技术规范，绿化管理责任单位要按照技术规范要求，对树木进行修剪，不得危害树木生长，不得破坏绿化景观。</w:t>
      </w:r>
    </w:p>
    <w:p>
      <w:pPr>
        <w:pStyle w:val="P1"/>
        <w:spacing w:lineRule="exact" w:line="578"/>
        <w:ind w:firstLine="640"/>
        <w:rPr>
          <w:rStyle w:val="C3"/>
          <w:rFonts w:ascii="仿宋_GB2312" w:hAnsi="仿宋_GB2312"/>
          <w:sz w:val="32"/>
        </w:rPr>
      </w:pPr>
      <w:r>
        <w:rPr>
          <w:rStyle w:val="C3"/>
          <w:rFonts w:ascii="黑体" w:hAnsi="黑体"/>
          <w:sz w:val="32"/>
        </w:rPr>
        <w:t xml:space="preserve">第二十条  </w:t>
      </w:r>
      <w:r>
        <w:rPr>
          <w:rStyle w:val="C3"/>
          <w:rFonts w:ascii="Microsoft YaHei UI" w:hAnsi="Microsoft YaHei UI"/>
          <w:sz w:val="32"/>
        </w:rPr>
        <w:t>为保证管线安全使用需要修剪树木的，管线管理单位应当经城市绿化行政主管部门批准后，在专业技术人员指导下修剪，修剪树木时应当兼顾管线安全使用、树木生长和绿化景观。</w:t>
      </w:r>
    </w:p>
    <w:p>
      <w:pPr>
        <w:pStyle w:val="P1"/>
        <w:spacing w:lineRule="exact" w:line="578"/>
        <w:ind w:firstLine="640"/>
        <w:rPr>
          <w:rStyle w:val="C3"/>
          <w:rFonts w:ascii="仿宋_GB2312" w:hAnsi="仿宋_GB2312"/>
          <w:sz w:val="32"/>
        </w:rPr>
      </w:pPr>
      <w:r>
        <w:rPr>
          <w:rStyle w:val="C3"/>
          <w:rFonts w:ascii="Microsoft YaHei UI" w:hAnsi="Microsoft YaHei UI"/>
          <w:sz w:val="32"/>
        </w:rPr>
        <w:t>居住区内因严重影响居住采光、通风、安全需要修剪树木的，绿化管理责任单位应当经城市绿化行政主管部门同意后进行修剪。</w:t>
      </w:r>
    </w:p>
    <w:p>
      <w:pPr>
        <w:pStyle w:val="P1"/>
        <w:spacing w:lineRule="exact" w:line="578"/>
        <w:ind w:firstLine="640"/>
        <w:rPr>
          <w:rStyle w:val="C3"/>
          <w:rFonts w:ascii="仿宋_GB2312" w:hAnsi="仿宋_GB2312"/>
          <w:sz w:val="32"/>
        </w:rPr>
      </w:pPr>
      <w:r>
        <w:rPr>
          <w:rStyle w:val="C3"/>
          <w:rFonts w:ascii="Microsoft YaHei UI" w:hAnsi="Microsoft YaHei UI"/>
          <w:sz w:val="32"/>
        </w:rPr>
        <w:t>因不可抗力致使树木倾斜危及管线和其他公用设施安全的，管线和其他公用设施管理单位可以先行处理，但应当及时报告城市绿化行政主管部门。</w:t>
      </w:r>
    </w:p>
    <w:p>
      <w:pPr>
        <w:pStyle w:val="P1"/>
        <w:spacing w:lineRule="exact" w:line="578"/>
        <w:ind w:firstLine="640"/>
        <w:rPr>
          <w:rStyle w:val="C3"/>
          <w:rFonts w:ascii="仿宋_GB2312" w:hAnsi="仿宋_GB2312"/>
          <w:sz w:val="32"/>
        </w:rPr>
      </w:pPr>
      <w:r>
        <w:rPr>
          <w:rStyle w:val="C3"/>
          <w:rFonts w:ascii="黑体" w:hAnsi="黑体"/>
          <w:sz w:val="32"/>
        </w:rPr>
        <w:t xml:space="preserve">第二十一条 </w:t>
      </w:r>
      <w:r>
        <w:rPr>
          <w:rStyle w:val="C3"/>
          <w:rFonts w:ascii="仿宋_GB2312" w:hAnsi="仿宋_GB2312"/>
          <w:sz w:val="32"/>
        </w:rPr>
        <w:t xml:space="preserve"> </w:t>
      </w:r>
      <w:r>
        <w:rPr>
          <w:rStyle w:val="C3"/>
          <w:rFonts w:ascii="Microsoft YaHei UI" w:hAnsi="Microsoft YaHei UI"/>
          <w:sz w:val="32"/>
        </w:rPr>
        <w:t>市政、交通、电力、通讯、供热、供水、供气等工程项目影响绿化的，施工单位应当按照有关规定采取保护绿地和树木的措施，并在施工前告知绿化管理责任单位。</w:t>
      </w:r>
    </w:p>
    <w:p>
      <w:pPr>
        <w:pStyle w:val="P1"/>
        <w:spacing w:lineRule="exact" w:line="578"/>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任何单位和个人不得擅自占用城市绿化用地，因城市建设或者其他特殊需要临时占用的，必须经城市绿化行政主管部门同意，并按照有关规定办理临时用地手续。</w:t>
      </w:r>
    </w:p>
    <w:p>
      <w:pPr>
        <w:pStyle w:val="P1"/>
        <w:spacing w:lineRule="exact" w:line="578"/>
        <w:ind w:firstLine="640"/>
        <w:rPr>
          <w:rStyle w:val="C3"/>
          <w:rFonts w:ascii="仿宋_GB2312" w:hAnsi="仿宋_GB2312"/>
          <w:b w:val="1"/>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在城市公共绿地内开设商业、服务摊点的，应当持市场监督管理部门批准的营业执照，在公共绿地管理单位指定的地点从事经营活动，并遵守公共绿地和市场监督管理的有关规定。</w:t>
      </w:r>
    </w:p>
    <w:p>
      <w:pPr>
        <w:pStyle w:val="P1"/>
        <w:spacing w:lineRule="exact" w:line="578"/>
        <w:ind w:firstLine="640"/>
        <w:rPr>
          <w:rStyle w:val="C3"/>
          <w:rFonts w:ascii="仿宋_GB2312" w:hAnsi="仿宋_GB2312"/>
          <w:sz w:val="32"/>
        </w:rPr>
      </w:pPr>
      <w:r>
        <w:rPr>
          <w:rStyle w:val="C3"/>
          <w:rFonts w:ascii="黑体" w:hAnsi="黑体"/>
          <w:sz w:val="32"/>
        </w:rPr>
        <w:t xml:space="preserve">第二十四条 </w:t>
      </w:r>
      <w:r>
        <w:rPr>
          <w:rStyle w:val="C3"/>
          <w:rFonts w:ascii="仿宋_GB2312" w:hAnsi="仿宋_GB2312"/>
          <w:sz w:val="32"/>
        </w:rPr>
        <w:t xml:space="preserve"> </w:t>
      </w:r>
      <w:r>
        <w:rPr>
          <w:rStyle w:val="C3"/>
          <w:rFonts w:ascii="Microsoft YaHei UI" w:hAnsi="Microsoft YaHei UI"/>
          <w:sz w:val="32"/>
        </w:rPr>
        <w:t>任何单位和个人不得擅自砍伐、移植树木，确需砍伐、移植树木的，应当经城市绿化行政主管部门批准。</w:t>
      </w:r>
    </w:p>
    <w:p>
      <w:pPr>
        <w:pStyle w:val="P1"/>
        <w:spacing w:lineRule="exact" w:line="578"/>
        <w:ind w:firstLine="640"/>
        <w:rPr>
          <w:rStyle w:val="C3"/>
          <w:rFonts w:ascii="仿宋_GB2312" w:hAnsi="仿宋_GB2312"/>
          <w:sz w:val="32"/>
        </w:rPr>
      </w:pPr>
      <w:r>
        <w:rPr>
          <w:rStyle w:val="C3"/>
          <w:rFonts w:ascii="Microsoft YaHei UI" w:hAnsi="Microsoft YaHei UI"/>
          <w:sz w:val="32"/>
        </w:rPr>
        <w:t>经批准砍伐树木的，申请人应当按照国家和省有关规定补植树木或者采取其他补救措施。</w:t>
      </w:r>
    </w:p>
    <w:p>
      <w:pPr>
        <w:pStyle w:val="P1"/>
        <w:spacing w:lineRule="exact" w:line="578"/>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禁止下列损害城市绿化以及绿化设施的行为：</w:t>
      </w:r>
    </w:p>
    <w:p>
      <w:pPr>
        <w:pStyle w:val="P1"/>
        <w:spacing w:lineRule="exact" w:line="578"/>
        <w:ind w:firstLine="640"/>
        <w:rPr>
          <w:rStyle w:val="C3"/>
          <w:rFonts w:ascii="仿宋_GB2312" w:hAnsi="仿宋_GB2312"/>
          <w:sz w:val="32"/>
        </w:rPr>
      </w:pPr>
      <w:r>
        <w:rPr>
          <w:rStyle w:val="C3"/>
          <w:rFonts w:ascii="Microsoft YaHei UI" w:hAnsi="Microsoft YaHei UI"/>
          <w:sz w:val="32"/>
        </w:rPr>
        <w:t>（一）攀折树木，钉栓刻划，晾晒捆绑，倚靠车辆；</w:t>
      </w:r>
    </w:p>
    <w:p>
      <w:pPr>
        <w:pStyle w:val="P1"/>
        <w:spacing w:lineRule="exact" w:line="578"/>
        <w:ind w:firstLine="640"/>
        <w:rPr>
          <w:rStyle w:val="C3"/>
          <w:rFonts w:ascii="仿宋_GB2312" w:hAnsi="仿宋_GB2312"/>
          <w:sz w:val="32"/>
        </w:rPr>
      </w:pPr>
      <w:r>
        <w:rPr>
          <w:rStyle w:val="C3"/>
          <w:rFonts w:ascii="Microsoft YaHei UI" w:hAnsi="Microsoft YaHei UI"/>
          <w:sz w:val="32"/>
        </w:rPr>
        <w:t>（二）在绿地、树池内堆放垃圾杂物、渣土及其他废弃物，放养家畜家禽、遛放宠物；</w:t>
      </w:r>
    </w:p>
    <w:p>
      <w:pPr>
        <w:pStyle w:val="P1"/>
        <w:spacing w:lineRule="exact" w:line="578"/>
        <w:ind w:firstLine="640"/>
        <w:rPr>
          <w:rStyle w:val="C3"/>
          <w:rFonts w:ascii="仿宋_GB2312" w:hAnsi="仿宋_GB2312"/>
          <w:sz w:val="32"/>
        </w:rPr>
      </w:pPr>
      <w:r>
        <w:rPr>
          <w:rStyle w:val="C3"/>
          <w:rFonts w:ascii="Microsoft YaHei UI" w:hAnsi="Microsoft YaHei UI"/>
          <w:sz w:val="32"/>
        </w:rPr>
        <w:t>（三）践踏草坪，采摘花果；</w:t>
      </w:r>
    </w:p>
    <w:p>
      <w:pPr>
        <w:pStyle w:val="P1"/>
        <w:spacing w:lineRule="exact" w:line="578"/>
        <w:ind w:firstLine="640"/>
        <w:rPr>
          <w:rStyle w:val="C3"/>
          <w:rFonts w:ascii="仿宋_GB2312" w:hAnsi="仿宋_GB2312"/>
          <w:sz w:val="32"/>
        </w:rPr>
      </w:pPr>
      <w:r>
        <w:rPr>
          <w:rStyle w:val="C3"/>
          <w:rFonts w:ascii="Microsoft YaHei UI" w:hAnsi="Microsoft YaHei UI"/>
          <w:sz w:val="32"/>
        </w:rPr>
        <w:t>（四）在绿地内取土、焚烧、烧烤、停放车辆，耕种、硬化或者圈占公共绿地；</w:t>
      </w:r>
    </w:p>
    <w:p>
      <w:pPr>
        <w:pStyle w:val="P1"/>
        <w:spacing w:lineRule="exact" w:line="578"/>
        <w:ind w:firstLine="640"/>
        <w:rPr>
          <w:rStyle w:val="C3"/>
          <w:rFonts w:ascii="仿宋_GB2312" w:hAnsi="仿宋_GB2312"/>
          <w:sz w:val="32"/>
        </w:rPr>
      </w:pPr>
      <w:r>
        <w:rPr>
          <w:rStyle w:val="C3"/>
          <w:rFonts w:ascii="Microsoft YaHei UI" w:hAnsi="Microsoft YaHei UI"/>
          <w:sz w:val="32"/>
        </w:rPr>
        <w:t>（五）向绿地、树池内倾倒废水、热水和含融雪剂的冰雪或有毒有害物质；</w:t>
      </w:r>
    </w:p>
    <w:p>
      <w:pPr>
        <w:pStyle w:val="P1"/>
        <w:spacing w:lineRule="exact" w:line="578"/>
        <w:ind w:firstLine="640"/>
        <w:rPr>
          <w:rStyle w:val="C3"/>
          <w:rFonts w:ascii="仿宋_GB2312" w:hAnsi="仿宋_GB2312"/>
          <w:sz w:val="32"/>
        </w:rPr>
      </w:pPr>
      <w:r>
        <w:rPr>
          <w:rStyle w:val="C3"/>
          <w:rFonts w:ascii="Microsoft YaHei UI" w:hAnsi="Microsoft YaHei UI"/>
          <w:sz w:val="32"/>
        </w:rPr>
        <w:t>（六）剥损树皮，挖掘树根等毁树行为；</w:t>
      </w:r>
    </w:p>
    <w:p>
      <w:pPr>
        <w:pStyle w:val="P1"/>
        <w:spacing w:lineRule="exact" w:line="578"/>
        <w:ind w:firstLine="640"/>
        <w:rPr>
          <w:rStyle w:val="C3"/>
          <w:rFonts w:ascii="仿宋_GB2312" w:hAnsi="仿宋_GB2312"/>
          <w:sz w:val="32"/>
        </w:rPr>
      </w:pPr>
      <w:r>
        <w:rPr>
          <w:rStyle w:val="C3"/>
          <w:rFonts w:ascii="Microsoft YaHei UI" w:hAnsi="Microsoft YaHei UI"/>
          <w:sz w:val="32"/>
        </w:rPr>
        <w:t>（七）在绿地内搭建建筑物、构筑物；</w:t>
      </w:r>
    </w:p>
    <w:p>
      <w:pPr>
        <w:pStyle w:val="P1"/>
        <w:spacing w:lineRule="exact" w:line="578"/>
        <w:ind w:firstLine="640"/>
        <w:rPr>
          <w:rStyle w:val="C3"/>
          <w:rFonts w:ascii="仿宋_GB2312" w:hAnsi="仿宋_GB2312"/>
          <w:sz w:val="32"/>
        </w:rPr>
      </w:pPr>
      <w:r>
        <w:rPr>
          <w:rStyle w:val="C3"/>
          <w:rFonts w:ascii="Microsoft YaHei UI" w:hAnsi="Microsoft YaHei UI"/>
          <w:sz w:val="32"/>
        </w:rPr>
        <w:t>（八）损坏树木支架、边石、围栏、花坛等绿化设施；</w:t>
      </w:r>
    </w:p>
    <w:p>
      <w:pPr>
        <w:pStyle w:val="P1"/>
        <w:spacing w:lineRule="exact" w:line="578"/>
        <w:ind w:firstLine="640"/>
        <w:rPr>
          <w:rStyle w:val="C3"/>
          <w:rFonts w:ascii="仿宋_GB2312" w:hAnsi="仿宋_GB2312"/>
          <w:sz w:val="32"/>
        </w:rPr>
      </w:pPr>
      <w:r>
        <w:rPr>
          <w:rStyle w:val="C3"/>
          <w:rFonts w:ascii="Microsoft YaHei UI" w:hAnsi="Microsoft YaHei UI"/>
          <w:sz w:val="32"/>
        </w:rPr>
        <w:t>（九）其他损害城市绿化的行为。</w:t>
      </w:r>
    </w:p>
    <w:p>
      <w:pPr>
        <w:pStyle w:val="P1"/>
        <w:spacing w:lineRule="exact" w:line="578"/>
        <w:ind w:firstLine="64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禁止使用未经检疫或者检疫不合格的植物进行城市绿化。</w:t>
      </w:r>
    </w:p>
    <w:p>
      <w:pPr>
        <w:pStyle w:val="P1"/>
        <w:spacing w:lineRule="exact" w:line="578"/>
        <w:ind w:firstLine="640"/>
        <w:rPr>
          <w:rStyle w:val="C3"/>
          <w:rFonts w:ascii="仿宋_GB2312" w:hAnsi="仿宋_GB2312"/>
          <w:sz w:val="32"/>
        </w:rPr>
      </w:pPr>
      <w:r>
        <w:rPr>
          <w:rStyle w:val="C3"/>
          <w:rFonts w:ascii="Microsoft YaHei UI" w:hAnsi="Microsoft YaHei UI"/>
          <w:sz w:val="32"/>
        </w:rPr>
        <w:t>城市绿化行政主管部门和植物检疫机构应当按照有关法律规定，做好绿化植物的检疫和有害生物防治工作。建立有害生物疫情监测预报网络，制定有害生物灾害事件应急预案，健全有害生物预警预防控制体系。</w:t>
      </w:r>
    </w:p>
    <w:p>
      <w:pPr>
        <w:pStyle w:val="P1"/>
        <w:spacing w:lineRule="exact" w:line="578"/>
        <w:ind w:firstLine="64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对城市古树名木实行统一管理，分别养护。城市绿化行政主管部门应当建立古树名木的档案和标志，划定保护范围，加强养护管理。</w:t>
      </w:r>
    </w:p>
    <w:p>
      <w:pPr>
        <w:pStyle w:val="P1"/>
        <w:spacing w:lineRule="exact" w:line="578"/>
        <w:ind w:firstLine="640"/>
        <w:rPr>
          <w:rStyle w:val="C3"/>
          <w:rFonts w:ascii="仿宋_GB2312" w:hAnsi="仿宋_GB2312"/>
          <w:sz w:val="32"/>
        </w:rPr>
      </w:pPr>
      <w:r>
        <w:rPr>
          <w:rStyle w:val="C3"/>
          <w:rFonts w:ascii="Microsoft YaHei UI" w:hAnsi="Microsoft YaHei UI"/>
          <w:sz w:val="32"/>
        </w:rPr>
        <w:t>在单位管界内或者私人庭院内的古树名木，由该单位或者居民负责养护，城市绿化行政主管部门负责监督和技术指导。</w:t>
      </w:r>
    </w:p>
    <w:p>
      <w:pPr>
        <w:pStyle w:val="P1"/>
        <w:spacing w:lineRule="exact" w:line="578"/>
        <w:ind w:firstLine="640"/>
        <w:rPr>
          <w:rStyle w:val="C3"/>
          <w:rFonts w:ascii="仿宋_GB2312" w:hAnsi="仿宋_GB2312"/>
          <w:sz w:val="32"/>
        </w:rPr>
      </w:pPr>
      <w:r>
        <w:rPr>
          <w:rStyle w:val="C3"/>
          <w:rFonts w:ascii="Microsoft YaHei UI" w:hAnsi="Microsoft YaHei UI"/>
          <w:sz w:val="32"/>
        </w:rPr>
        <w:t>严禁砍伐、擅自迁移古树名木。因特殊需要迁移古树名木，必须经城市绿化行政主管部门审查同意，并报同级或者上级人民政府批准。</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第四章 法律责任</w:t>
      </w:r>
    </w:p>
    <w:p>
      <w:pPr>
        <w:pStyle w:val="P1"/>
        <w:spacing w:lineRule="exact" w:line="578"/>
        <w:rPr>
          <w:rStyle w:val="C3"/>
          <w:rFonts w:ascii="黑体" w:hAnsi="黑体"/>
          <w:b w:val="1"/>
          <w:sz w:val="32"/>
        </w:rPr>
      </w:pPr>
    </w:p>
    <w:p>
      <w:pPr>
        <w:pStyle w:val="P1"/>
        <w:spacing w:lineRule="exact" w:line="578"/>
        <w:ind w:firstLine="64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违反本条例第十五条第二款规定，工程建设项目附属绿化工程设计方案，未经批准或者未按照批准的设计方案施工的，由城市绿化行政主管部门责令停止施工，限期改正或者采取其他补救措施。</w:t>
      </w:r>
    </w:p>
    <w:p>
      <w:pPr>
        <w:pStyle w:val="P1"/>
        <w:spacing w:lineRule="exact" w:line="578"/>
        <w:ind w:firstLine="640"/>
        <w:rPr>
          <w:rStyle w:val="C3"/>
          <w:rFonts w:ascii="仿宋_GB2312" w:hAnsi="仿宋_GB2312"/>
          <w:sz w:val="32"/>
        </w:rPr>
      </w:pPr>
      <w:r>
        <w:rPr>
          <w:rStyle w:val="C3"/>
          <w:rFonts w:ascii="黑体" w:hAnsi="黑体"/>
          <w:sz w:val="32"/>
        </w:rPr>
        <w:t xml:space="preserve">第二十九条 </w:t>
      </w:r>
      <w:r>
        <w:rPr>
          <w:rStyle w:val="C3"/>
          <w:rFonts w:ascii="仿宋_GB2312" w:hAnsi="仿宋_GB2312"/>
          <w:sz w:val="32"/>
        </w:rPr>
        <w:t xml:space="preserve"> </w:t>
      </w:r>
      <w:r>
        <w:rPr>
          <w:rStyle w:val="C3"/>
          <w:rFonts w:ascii="Microsoft YaHei UI" w:hAnsi="Microsoft YaHei UI"/>
          <w:sz w:val="32"/>
        </w:rPr>
        <w:t>违反本条例第十六条第一款规定，未按规定时限完成附属绿化工程的，由城市绿化行政主管部门责令限期改正，对建设单位处以所缺绿地面积每平方米五百元罚款。</w:t>
      </w:r>
    </w:p>
    <w:p>
      <w:pPr>
        <w:pStyle w:val="P1"/>
        <w:spacing w:lineRule="exact" w:line="578"/>
        <w:ind w:firstLine="640"/>
        <w:rPr>
          <w:rStyle w:val="C3"/>
          <w:rFonts w:ascii="仿宋_GB2312" w:hAnsi="仿宋_GB2312"/>
          <w:sz w:val="32"/>
          <w:shd w:val="clear" w:color="auto" w:fill="FFFFFF"/>
        </w:rPr>
      </w:pPr>
      <w:r>
        <w:rPr>
          <w:rStyle w:val="C3"/>
          <w:rFonts w:ascii="Microsoft YaHei UI" w:hAnsi="Microsoft YaHei UI"/>
          <w:sz w:val="32"/>
        </w:rPr>
        <w:t>违反本条例第十六条第二款规定，建设单位在竣工验收合格后十五个工作日内，未将竣工验收资料报送城市绿化行政主管部门备案的，由城市绿化行政主管部门</w:t>
      </w:r>
      <w:r>
        <w:rPr>
          <w:rStyle w:val="C3"/>
          <w:rFonts w:ascii="Microsoft YaHei UI" w:hAnsi="Microsoft YaHei UI"/>
          <w:sz w:val="32"/>
          <w:shd w:val="clear" w:color="auto" w:fill="FFFFFF"/>
        </w:rPr>
        <w:t>责令限期改正；逾期不改正的，处以二千元以上一万元以下罚款。</w:t>
      </w:r>
    </w:p>
    <w:p>
      <w:pPr>
        <w:pStyle w:val="P1"/>
        <w:spacing w:lineRule="exact" w:line="578"/>
        <w:ind w:firstLine="640"/>
        <w:rPr>
          <w:rStyle w:val="C3"/>
          <w:rFonts w:ascii="仿宋_GB2312" w:hAnsi="仿宋_GB2312"/>
          <w:b w:val="1"/>
          <w:sz w:val="32"/>
        </w:rPr>
      </w:pPr>
      <w:r>
        <w:rPr>
          <w:rStyle w:val="C3"/>
          <w:rFonts w:ascii="黑体" w:hAnsi="黑体"/>
          <w:sz w:val="32"/>
        </w:rPr>
        <w:t xml:space="preserve">第三十条  </w:t>
      </w:r>
      <w:r>
        <w:rPr>
          <w:rStyle w:val="C3"/>
          <w:rFonts w:ascii="Microsoft YaHei UI" w:hAnsi="Microsoft YaHei UI"/>
          <w:sz w:val="32"/>
        </w:rPr>
        <w:t>违反本条例第十八条规定，绿化管理责任单位未履行绿化管理责任的，由城市绿化行政主管部门</w:t>
      </w:r>
      <w:r>
        <w:rPr>
          <w:rStyle w:val="C3"/>
          <w:rFonts w:ascii="Microsoft YaHei UI" w:hAnsi="Microsoft YaHei UI"/>
          <w:sz w:val="32"/>
          <w:shd w:val="clear" w:color="auto" w:fill="FFFFFF"/>
        </w:rPr>
        <w:t>责令限期改正，</w:t>
      </w:r>
      <w:r>
        <w:rPr>
          <w:rStyle w:val="C3"/>
          <w:rFonts w:ascii="Microsoft YaHei UI" w:hAnsi="Microsoft YaHei UI"/>
          <w:sz w:val="32"/>
        </w:rPr>
        <w:t>处二百元以上一千元以下罚款；造成损失的，应当承担赔偿责任。</w:t>
      </w:r>
    </w:p>
    <w:p>
      <w:pPr>
        <w:pStyle w:val="P1"/>
        <w:spacing w:lineRule="exact" w:line="578"/>
        <w:ind w:firstLine="640"/>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违反本条例第二十二条规定，擅自占用城市绿化用地的，由城市绿化行政主管部门责令限期返还绿化用地，恢复原状，处以每平方米一百元以上三百元以下罚款；造成损失的，应当承担赔偿责任。</w:t>
      </w:r>
    </w:p>
    <w:p>
      <w:pPr>
        <w:pStyle w:val="P1"/>
        <w:spacing w:lineRule="exact" w:line="578"/>
        <w:ind w:firstLine="640"/>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违反本条例第二十三条规定，商业、服务摊点不服从公共绿地管理单位管理的，由城市绿化行政主管部门给予警告，可以并处二百元以上一千元以下罚款；情节严重的，可以提请市场监督管理部门吊销其营业执照。</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违反本条例第二十四条规定，由城市绿化行政主管部门责令停止违法行为，未经批准擅自移植树木的，处以树木总价格二倍以上五倍以下罚款；擅自砍伐树木的，处以树木总价格五倍以上十倍以下罚款；造成损失的，应当承担赔偿责任。</w:t>
      </w:r>
    </w:p>
    <w:p>
      <w:pPr>
        <w:pStyle w:val="P1"/>
        <w:spacing w:lineRule="exact" w:line="578"/>
        <w:ind w:firstLine="640"/>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违反本条例第二十五条规定，由城市绿化行政主管部门责令停止违法行为，按以下规定处罚：</w:t>
      </w:r>
    </w:p>
    <w:p>
      <w:pPr>
        <w:pStyle w:val="P1"/>
        <w:spacing w:lineRule="exact" w:line="578"/>
        <w:ind w:firstLine="640"/>
        <w:rPr>
          <w:rStyle w:val="C3"/>
          <w:rFonts w:ascii="仿宋_GB2312" w:hAnsi="仿宋_GB2312"/>
          <w:sz w:val="32"/>
        </w:rPr>
      </w:pPr>
      <w:r>
        <w:rPr>
          <w:rStyle w:val="C3"/>
          <w:rFonts w:ascii="Microsoft YaHei UI" w:hAnsi="Microsoft YaHei UI"/>
          <w:sz w:val="32"/>
        </w:rPr>
        <w:t>（一）违反第（一）项、第（二）项、第（三）项规定的，处以五十元以上二百元以下罚款；</w:t>
      </w:r>
    </w:p>
    <w:p>
      <w:pPr>
        <w:pStyle w:val="P1"/>
        <w:spacing w:lineRule="exact" w:line="578"/>
        <w:ind w:firstLine="640"/>
        <w:rPr>
          <w:rStyle w:val="C3"/>
          <w:rFonts w:ascii="仿宋_GB2312" w:hAnsi="仿宋_GB2312"/>
          <w:sz w:val="32"/>
        </w:rPr>
      </w:pPr>
      <w:r>
        <w:rPr>
          <w:rStyle w:val="C3"/>
          <w:rFonts w:ascii="Microsoft YaHei UI" w:hAnsi="Microsoft YaHei UI"/>
          <w:sz w:val="32"/>
        </w:rPr>
        <w:t>（二）违反第（四）项规定的，处以二百元以上一千元以下罚款；</w:t>
      </w:r>
    </w:p>
    <w:p>
      <w:pPr>
        <w:pStyle w:val="P1"/>
        <w:spacing w:lineRule="exact" w:line="578"/>
        <w:ind w:firstLine="640"/>
        <w:rPr>
          <w:rStyle w:val="C3"/>
          <w:rFonts w:ascii="仿宋_GB2312" w:hAnsi="仿宋_GB2312"/>
          <w:sz w:val="32"/>
        </w:rPr>
      </w:pPr>
      <w:r>
        <w:rPr>
          <w:rStyle w:val="C3"/>
          <w:rFonts w:ascii="Microsoft YaHei UI" w:hAnsi="Microsoft YaHei UI"/>
          <w:sz w:val="32"/>
        </w:rPr>
        <w:t>（三）违反第（五）项规定的，处以五百元以上一千元以下罚款；</w:t>
      </w:r>
    </w:p>
    <w:p>
      <w:pPr>
        <w:pStyle w:val="P1"/>
        <w:spacing w:lineRule="exact" w:line="578"/>
        <w:ind w:firstLine="640"/>
        <w:rPr>
          <w:rStyle w:val="C3"/>
          <w:rFonts w:ascii="仿宋_GB2312" w:hAnsi="仿宋_GB2312"/>
          <w:sz w:val="32"/>
        </w:rPr>
      </w:pPr>
      <w:r>
        <w:rPr>
          <w:rStyle w:val="C3"/>
          <w:rFonts w:ascii="Microsoft YaHei UI" w:hAnsi="Microsoft YaHei UI"/>
          <w:sz w:val="32"/>
        </w:rPr>
        <w:t>（四）违反第（六）项规定的，</w:t>
      </w:r>
      <w:r>
        <w:rPr>
          <w:rStyle w:val="C3"/>
          <w:rFonts w:ascii="Microsoft YaHei UI" w:hAnsi="Microsoft YaHei UI"/>
          <w:sz w:val="32"/>
          <w:shd w:val="clear" w:color="auto" w:fill="FFFFFF"/>
        </w:rPr>
        <w:t>处以三千元以上五千元以下罚款；造成重大损失的，处以实际损失额二倍以上五倍以下罚款；</w:t>
      </w:r>
    </w:p>
    <w:p>
      <w:pPr>
        <w:pStyle w:val="P1"/>
        <w:spacing w:lineRule="exact" w:line="578"/>
        <w:ind w:firstLine="640"/>
        <w:rPr>
          <w:rStyle w:val="C3"/>
          <w:rFonts w:ascii="仿宋_GB2312" w:hAnsi="仿宋_GB2312"/>
          <w:sz w:val="32"/>
        </w:rPr>
      </w:pPr>
      <w:r>
        <w:rPr>
          <w:rStyle w:val="C3"/>
          <w:rFonts w:ascii="Microsoft YaHei UI" w:hAnsi="Microsoft YaHei UI"/>
          <w:sz w:val="32"/>
        </w:rPr>
        <w:t>（五）违反第（七）项、第（八）项规定的，处以实际损失额二倍以上五倍以下罚款。</w:t>
      </w:r>
    </w:p>
    <w:p>
      <w:pPr>
        <w:pStyle w:val="P1"/>
        <w:spacing w:lineRule="exact" w:line="578"/>
        <w:ind w:firstLine="640"/>
        <w:rPr>
          <w:rStyle w:val="C3"/>
          <w:rFonts w:ascii="仿宋_GB2312" w:hAnsi="仿宋_GB2312"/>
          <w:sz w:val="32"/>
        </w:rPr>
      </w:pPr>
      <w:r>
        <w:rPr>
          <w:rStyle w:val="C3"/>
          <w:rFonts w:ascii="Microsoft YaHei UI" w:hAnsi="Microsoft YaHei UI"/>
          <w:sz w:val="32"/>
        </w:rPr>
        <w:t>上述违法行为造成损失的，应当承担赔偿责任。</w:t>
      </w:r>
    </w:p>
    <w:p>
      <w:pPr>
        <w:pStyle w:val="P1"/>
        <w:spacing w:lineRule="exact" w:line="578"/>
        <w:ind w:firstLine="640"/>
        <w:rPr>
          <w:rStyle w:val="C3"/>
          <w:rFonts w:ascii="仿宋_GB2312" w:hAnsi="仿宋_GB2312"/>
          <w:b w:val="1"/>
          <w:sz w:val="32"/>
        </w:rPr>
      </w:pPr>
      <w:r>
        <w:rPr>
          <w:rStyle w:val="C3"/>
          <w:rFonts w:ascii="黑体" w:hAnsi="黑体"/>
          <w:sz w:val="32"/>
        </w:rPr>
        <w:t xml:space="preserve">第三十五条  </w:t>
      </w:r>
      <w:r>
        <w:rPr>
          <w:rStyle w:val="C3"/>
          <w:rFonts w:ascii="Microsoft YaHei UI" w:hAnsi="Microsoft YaHei UI"/>
          <w:sz w:val="32"/>
        </w:rPr>
        <w:t>违反本条例第二十六条规定，使用未经检疫或者检疫不合格的苗木进行城市绿化的，由城市绿化行政主管部门责令限期改正，处以五百元以上五千元以下罚款。</w:t>
      </w:r>
    </w:p>
    <w:p>
      <w:pPr>
        <w:pStyle w:val="P1"/>
        <w:spacing w:lineRule="exact" w:line="578"/>
        <w:ind w:firstLine="640"/>
        <w:rPr>
          <w:rStyle w:val="C3"/>
          <w:rFonts w:ascii="仿宋_GB2312" w:hAnsi="仿宋_GB2312"/>
          <w:sz w:val="32"/>
        </w:rPr>
      </w:pPr>
      <w:r>
        <w:rPr>
          <w:rStyle w:val="C3"/>
          <w:rFonts w:ascii="黑体" w:hAnsi="黑体"/>
          <w:sz w:val="32"/>
        </w:rPr>
        <w:t xml:space="preserve">第三十六条  </w:t>
      </w:r>
      <w:r>
        <w:rPr>
          <w:rStyle w:val="C3"/>
          <w:rFonts w:ascii="Microsoft YaHei UI" w:hAnsi="Microsoft YaHei UI"/>
          <w:sz w:val="32"/>
        </w:rPr>
        <w:t>违反本条例第二十七条规定，砍伐、擅自迁移古树名木或者因养护不善致使古树名木受到损伤或者死亡的，由城市绿化行政主管部门责令停止违法行为，处以每株五万元以上二十万元以下罚款；造成损失的，应当承担赔偿责任。</w:t>
      </w:r>
    </w:p>
    <w:p>
      <w:pPr>
        <w:pStyle w:val="P1"/>
        <w:spacing w:lineRule="exact" w:line="578"/>
        <w:ind w:firstLine="640"/>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阻碍或者妨碍城市绿化行政主管部门和其他部门工作人员依法执行职务的，由公安机关依照《中华人民共和国治安管理处罚法》规定予以处罚。</w:t>
      </w:r>
    </w:p>
    <w:p>
      <w:pPr>
        <w:pStyle w:val="P1"/>
        <w:spacing w:lineRule="exact" w:line="578"/>
        <w:ind w:firstLine="640"/>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城市绿化行政主管部门和绿地管理责任单位的工作人员玩忽职守、滥用职权、徇私舞弊的，依法给予处分。</w:t>
      </w:r>
      <w:r>
        <w:rPr>
          <w:rStyle w:val="C3"/>
          <w:rFonts w:ascii="仿宋_GB2312" w:hAnsi="仿宋_GB2312"/>
          <w:sz w:val="32"/>
        </w:rPr>
        <w:t xml:space="preserve"> </w:t>
      </w:r>
    </w:p>
    <w:p>
      <w:pPr>
        <w:pStyle w:val="P1"/>
        <w:spacing w:lineRule="exact" w:line="578"/>
        <w:ind w:firstLine="640"/>
        <w:rPr>
          <w:rStyle w:val="C3"/>
          <w:rFonts w:ascii="仿宋_GB2312" w:hAnsi="仿宋_GB2312"/>
          <w:sz w:val="32"/>
        </w:rPr>
      </w:pPr>
    </w:p>
    <w:p>
      <w:pPr>
        <w:pStyle w:val="P1"/>
        <w:spacing w:lineRule="exact" w:line="578"/>
        <w:jc w:val="center"/>
        <w:rPr>
          <w:rStyle w:val="C3"/>
          <w:rFonts w:ascii="黑体" w:hAnsi="黑体"/>
          <w:sz w:val="32"/>
        </w:rPr>
      </w:pPr>
      <w:r>
        <w:rPr>
          <w:rStyle w:val="C3"/>
          <w:rFonts w:ascii="黑体" w:hAnsi="黑体"/>
          <w:sz w:val="32"/>
        </w:rPr>
        <w:t xml:space="preserve">第五章  附  则</w:t>
      </w:r>
    </w:p>
    <w:p>
      <w:pPr>
        <w:pStyle w:val="P1"/>
        <w:spacing w:lineRule="exact" w:line="578"/>
        <w:rPr>
          <w:rStyle w:val="C3"/>
          <w:rFonts w:ascii="黑体" w:hAnsi="黑体"/>
          <w:b w:val="1"/>
          <w:sz w:val="32"/>
        </w:rPr>
      </w:pPr>
    </w:p>
    <w:p>
      <w:pPr>
        <w:pStyle w:val="P1"/>
        <w:spacing w:lineRule="exact" w:line="578"/>
        <w:ind w:firstLine="640"/>
        <w:rPr>
          <w:rStyle w:val="C3"/>
          <w:rFonts w:ascii="仿宋_GB2312" w:hAnsi="仿宋_GB2312"/>
          <w:strike w:val="1"/>
          <w:sz w:val="32"/>
          <w:shd w:val="clear" w:color="auto" w:fill="7F7F7F"/>
        </w:rPr>
      </w:pP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本条例所称城市绿地是指城市建设用地范围内用于城市绿化的土地，包括公园绿地、广场用地、防护绿地和附属绿地。</w:t>
      </w:r>
    </w:p>
    <w:p>
      <w:pPr>
        <w:pStyle w:val="P1"/>
        <w:spacing w:lineRule="exact" w:line="578"/>
        <w:ind w:firstLine="640"/>
        <w:rPr>
          <w:rStyle w:val="C3"/>
          <w:rFonts w:ascii="仿宋_GB2312" w:hAnsi="仿宋_GB2312"/>
          <w:sz w:val="32"/>
        </w:rPr>
      </w:pPr>
      <w:r>
        <w:rPr>
          <w:rStyle w:val="C3"/>
          <w:rFonts w:ascii="黑体" w:hAnsi="黑体"/>
          <w:sz w:val="32"/>
        </w:rPr>
        <w:t xml:space="preserve">第四十条 </w:t>
      </w:r>
      <w:r>
        <w:rPr>
          <w:rStyle w:val="C3"/>
          <w:rFonts w:ascii="仿宋_GB2312" w:hAnsi="仿宋_GB2312"/>
          <w:sz w:val="32"/>
        </w:rPr>
        <w:t xml:space="preserve"> </w:t>
      </w:r>
      <w:r>
        <w:rPr>
          <w:rStyle w:val="C3"/>
          <w:rFonts w:ascii="Microsoft YaHei UI" w:hAnsi="Microsoft YaHei UI"/>
          <w:sz w:val="32"/>
        </w:rPr>
        <w:t>本条例所称城市绿线是指城市各类绿地范围的控制线。</w:t>
      </w:r>
    </w:p>
    <w:p>
      <w:pPr>
        <w:pStyle w:val="P1"/>
        <w:spacing w:lineRule="exact" w:line="578"/>
        <w:ind w:firstLine="640"/>
        <w:rPr>
          <w:rStyle w:val="C3"/>
          <w:rFonts w:ascii="仿宋_GB2312" w:hAnsi="仿宋_GB2312"/>
          <w:sz w:val="32"/>
        </w:rPr>
      </w:pP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本条例所称古树是指树龄在一百年以上的树木；本条例所称名木是指国内外稀有的以及具有历史价值和纪念意义及重要科研价值的树木。</w:t>
      </w:r>
    </w:p>
    <w:p>
      <w:pPr>
        <w:pStyle w:val="P1"/>
        <w:spacing w:lineRule="exact" w:line="578"/>
        <w:ind w:firstLine="640"/>
        <w:rPr>
          <w:rStyle w:val="C3"/>
          <w:rFonts w:ascii="仿宋_GB2312" w:hAnsi="仿宋_GB2312"/>
          <w:sz w:val="32"/>
        </w:rPr>
      </w:pP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本条例未规定内容，按照国家和省现行有关法律、法规的规定执行。</w:t>
      </w:r>
    </w:p>
    <w:p>
      <w:pPr>
        <w:pStyle w:val="P1"/>
        <w:spacing w:lineRule="exact" w:line="578"/>
        <w:ind w:firstLine="640"/>
        <w:rPr>
          <w:rStyle w:val="C3"/>
          <w:rFonts w:ascii="仿宋_GB2312" w:hAnsi="仿宋_GB2312"/>
          <w:sz w:val="32"/>
        </w:rPr>
      </w:pP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2020</w:t>
      </w:r>
      <w:r>
        <w:rPr>
          <w:rStyle w:val="C3"/>
          <w:rFonts w:ascii="Microsoft YaHei UI" w:hAnsi="Microsoft YaHei UI"/>
          <w:sz w:val="32"/>
        </w:rPr>
        <w:t>年</w:t>
      </w:r>
      <w:r>
        <w:rPr>
          <w:rStyle w:val="C3"/>
          <w:rFonts w:ascii="仿宋_GB2312" w:hAnsi="仿宋_GB2312"/>
          <w:sz w:val="32"/>
        </w:rPr>
        <w:t>5</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p>
    <w:p>
      <w:pPr>
        <w:pStyle w:val="P1"/>
        <w:spacing w:lineRule="exact" w:line="578"/>
        <w:ind w:firstLine="640"/>
        <w:rPr>
          <w:rStyle w:val="C3"/>
          <w:rFonts w:ascii="仿宋_GB2312" w:hAnsi="仿宋_GB2312"/>
          <w:sz w:val="32"/>
        </w:rPr>
      </w:pPr>
    </w:p>
    <w:p>
      <w:pPr>
        <w:pStyle w:val="P1"/>
        <w:spacing w:lineRule="exact" w:line="578"/>
        <w:jc w:val="left"/>
        <w:rPr>
          <w:rStyle w:val="C3"/>
          <w:rFonts w:ascii="楷体_GB2312" w:hAnsi="楷体_GB2312"/>
          <w:sz w:val="32"/>
        </w:rPr>
      </w:pPr>
    </w:p>
    <w:p>
      <w:pPr>
        <w:pStyle w:val="P1"/>
        <w:spacing w:lineRule="exact" w:line="578"/>
        <w:jc w:val="left"/>
        <w:rPr>
          <w:rStyle w:val="C3"/>
          <w:rFonts w:ascii="楷体_GB2312" w:hAnsi="楷体_GB2312"/>
          <w:sz w:val="32"/>
        </w:rPr>
      </w:pPr>
    </w:p>
    <w:p>
      <w:pPr>
        <w:pStyle w:val="P1"/>
        <w:spacing w:lineRule="exact" w:line="578"/>
        <w:jc w:val="left"/>
        <w:rPr>
          <w:rStyle w:val="C3"/>
          <w:rFonts w:ascii="楷体_GB2312" w:hAnsi="楷体_GB2312"/>
          <w:sz w:val="32"/>
        </w:rPr>
      </w:pPr>
    </w:p>
    <w:p>
      <w:pPr>
        <w:pStyle w:val="P1"/>
        <w:spacing w:lineRule="exact" w:line="578"/>
        <w:jc w:val="left"/>
        <w:rPr>
          <w:rStyle w:val="C3"/>
          <w:rFonts w:ascii="楷体_GB2312" w:hAnsi="楷体_GB2312"/>
          <w:sz w:val="32"/>
        </w:rPr>
      </w:pPr>
    </w:p>
    <w:p>
      <w:pPr>
        <w:pStyle w:val="P1"/>
        <w:spacing w:lineRule="exact" w:line="578"/>
        <w:jc w:val="left"/>
        <w:rPr>
          <w:rStyle w:val="C3"/>
          <w:rFonts w:ascii="楷体_GB2312" w:hAnsi="楷体_GB2312"/>
          <w:sz w:val="32"/>
        </w:rPr>
      </w:pPr>
    </w:p>
    <w:p>
      <w:pPr>
        <w:pStyle w:val="P1"/>
        <w:spacing w:lineRule="exact" w:line="578"/>
        <w:jc w:val="left"/>
        <w:rPr>
          <w:rStyle w:val="C3"/>
          <w:rFonts w:ascii="楷体_GB2312" w:hAnsi="楷体_GB2312"/>
          <w:sz w:val="32"/>
        </w:rPr>
      </w:pPr>
    </w:p>
    <w:p>
      <w:pPr>
        <w:pStyle w:val="P1"/>
        <w:spacing w:lineRule="exact" w:line="578"/>
        <w:jc w:val="left"/>
        <w:rPr>
          <w:rStyle w:val="C3"/>
          <w:rFonts w:ascii="楷体_GB2312" w:hAnsi="楷体_GB2312"/>
          <w:sz w:val="32"/>
        </w:rPr>
      </w:pPr>
    </w:p>
    <w:p>
      <w:pPr>
        <w:pStyle w:val="P1"/>
        <w:spacing w:lineRule="exact" w:line="578"/>
        <w:jc w:val="left"/>
        <w:rPr>
          <w:rStyle w:val="C3"/>
          <w:rFonts w:ascii="楷体_GB2312" w:hAnsi="楷体_GB2312"/>
          <w:sz w:val="32"/>
        </w:rPr>
      </w:pPr>
    </w:p>
    <w:p>
      <w:pPr>
        <w:pStyle w:val="P1"/>
        <w:spacing w:lineRule="exact" w:line="578"/>
        <w:jc w:val="left"/>
        <w:rPr>
          <w:rStyle w:val="C3"/>
          <w:rFonts w:ascii="楷体_GB2312" w:hAnsi="楷体_GB2312"/>
          <w:sz w:val="32"/>
        </w:rPr>
      </w:pPr>
    </w:p>
    <w:p>
      <w:pPr>
        <w:pStyle w:val="P1"/>
        <w:spacing w:lineRule="exact" w:line="578"/>
        <w:jc w:val="left"/>
        <w:rPr>
          <w:rStyle w:val="C3"/>
          <w:rFonts w:ascii="楷体_GB2312" w:hAnsi="楷体_GB2312"/>
          <w:sz w:val="32"/>
        </w:rPr>
      </w:pPr>
    </w:p>
    <w:p>
      <w:pPr>
        <w:pStyle w:val="P1"/>
        <w:spacing w:lineRule="exact" w:line="578"/>
        <w:rPr>
          <w:rStyle w:val="C3"/>
          <w:sz w:val="32"/>
        </w:rPr>
      </w:pPr>
    </w:p>
    <w:sectPr>
      <w:footerReference xmlns:r="http://schemas.openxmlformats.org/officeDocument/2006/relationships" w:type="default" r:id="RelFtr1"/>
      <w:type w:val="nextPage"/>
      <w:pgSz w:w="11906" w:h="16838" w:code="0"/>
      <w:pgMar w:left="1800" w:right="1800" w:top="1440" w:bottom="1440" w:header="851" w:footer="992"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jc w:val="right"/>
      <w:rPr>
        <w:rStyle w:val="C3"/>
      </w:rPr>
    </w:pPr>
    <w:r>
      <w:fldChar w:fldCharType="begin"/>
    </w:r>
    <w:r>
      <w:rPr>
        <w:rStyle w:val="C3"/>
        <w:rFonts w:ascii="仿宋_GB2312" w:hAnsi="仿宋_GB2312"/>
        <w:sz w:val="28"/>
      </w:rPr>
      <w:instrText xml:space="preserve"> PAGE   \* MERGEFORMAT </w:instrText>
    </w:r>
    <w:r>
      <w:rPr>
        <w:rStyle w:val="C3"/>
        <w:rFonts w:ascii="仿宋_GB2312" w:hAnsi="仿宋_GB2312"/>
        <w:sz w:val="28"/>
      </w:rPr>
      <w:fldChar w:fldCharType="separate"/>
    </w:r>
    <w:r>
      <w:rPr>
        <w:rStyle w:val="C3"/>
        <w:rFonts w:ascii="仿宋_GB2312" w:hAnsi="仿宋_GB2312"/>
        <w:sz w:val="28"/>
      </w:rPr>
      <w:t>#</w:t>
    </w:r>
    <w:r>
      <w:rPr>
        <w:rStyle w:val="C3"/>
        <w:rFonts w:ascii="仿宋_GB2312" w:hAnsi="仿宋_GB2312"/>
        <w:sz w:val="28"/>
      </w:rPr>
      <w:fldChar w:fldCharType="end"/>
    </w:r>
  </w:p>
  <w:p>
    <w:pPr>
      <w:pStyle w:val="P3"/>
      <w:tabs>
        <w:tab w:val="center" w:pos="4153" w:leader="none"/>
        <w:tab w:val="right" w:pos="8306" w:leader="none"/>
      </w:tabs>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Calibri" w:hAnsi="Calibri"/>
      <w:sz w:val="21"/>
    </w:rPr>
  </w:style>
  <w:style w:type="paragraph" w:styleId="P2">
    <w:name w:val="页眉"/>
    <w:basedOn w:val="P1"/>
    <w:next w:val="P2"/>
    <w:link w:val="C4"/>
    <w:pPr>
      <w:pBdr>
        <w:bottom w:val="single" w:sz="6" w:space="0" w:shadow="0" w:frame="0"/>
      </w:pBdr>
      <w:tabs>
        <w:tab w:val="center" w:pos="4153" w:leader="none"/>
        <w:tab w:val="right" w:pos="8306" w:leader="none"/>
      </w:tabs>
      <w:jc w:val="center"/>
    </w:pPr>
    <w:rPr>
      <w:rFonts w:ascii="Calibri" w:hAnsi="Calibri"/>
      <w:sz w:val="18"/>
    </w:rPr>
  </w:style>
  <w:style w:type="paragraph" w:styleId="P3">
    <w:name w:val="页脚"/>
    <w:basedOn w:val="P1"/>
    <w:next w:val="P3"/>
    <w:link w:val="C5"/>
    <w:pPr>
      <w:tabs>
        <w:tab w:val="center" w:pos="4153" w:leader="none"/>
        <w:tab w:val="right" w:pos="8306" w:leader="none"/>
      </w:tabs>
      <w:jc w:val="left"/>
    </w:pPr>
    <w:rPr>
      <w:rFonts w:ascii="Calibri" w:hAnsi="Calibri"/>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basedOn w:val="C3"/>
    <w:link w:val="P2"/>
    <w:rPr>
      <w:rFonts w:ascii="Calibri" w:hAnsi="Calibri"/>
      <w:sz w:val="18"/>
    </w:rPr>
  </w:style>
  <w:style w:type="character" w:styleId="C5">
    <w:name w:val="页脚 Char"/>
    <w:basedOn w:val="C3"/>
    <w:link w:val="P3"/>
    <w:rPr>
      <w:rFonts w:ascii="Calibri" w:hAnsi="Calibri"/>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rd318</dc:creator>
  <dcterms:created xsi:type="dcterms:W3CDTF">2020-03-23T01:40:00Z</dcterms:created>
  <cp:lastModifiedBy>f1TZOF\f1TZOF-</cp:lastModifiedBy>
  <dcterms:modified xsi:type="dcterms:W3CDTF">2024-08-28T01:35:43Z</dcterms:modified>
  <cp:revision>2</cp:revision>
  <dc:title>PC</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