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3E941E" Type="http://schemas.openxmlformats.org/officeDocument/2006/relationships/officeDocument" Target="/word/document.xml" /><Relationship Id="coreR4A3E941E" Type="http://schemas.openxmlformats.org/package/2006/relationships/metadata/core-properties" Target="/docProps/core.xml" /><Relationship Id="customR4A3E94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ind w:firstLine="880"/>
        <w:rPr>
          <w:rStyle w:val="C3"/>
          <w:rFonts w:ascii="宋体" w:hAnsi="宋体"/>
          <w:sz w:val="44"/>
        </w:rPr>
      </w:pPr>
    </w:p>
    <w:p>
      <w:pPr>
        <w:pStyle w:val="P1"/>
        <w:spacing w:lineRule="exact" w:line="600"/>
        <w:jc w:val="center"/>
        <w:rPr>
          <w:rStyle w:val="C3"/>
          <w:rFonts w:ascii="方正小标宋简体" w:hAnsi="方正小标宋简体"/>
          <w:b w:val="1"/>
          <w:sz w:val="44"/>
        </w:rPr>
      </w:pPr>
      <w:r>
        <w:rPr>
          <w:rStyle w:val="C3"/>
          <w:rFonts w:ascii="Microsoft YaHei UI" w:hAnsi="Microsoft YaHei UI"/>
          <w:b w:val="1"/>
          <w:sz w:val="44"/>
        </w:rPr>
        <w:t>贵州省安全技术防范管理条例</w:t>
      </w:r>
    </w:p>
    <w:p>
      <w:pPr>
        <w:pStyle w:val="P1"/>
        <w:spacing w:lineRule="exact" w:line="60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日贵州省第十届人民代表大会常务委员会第五次会议通过，自</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日贵州省第十二届人民代表大会常务委员会第三十二次会议通过的《贵州省人民代表大会常务委员会关于修改〈贵州省建筑市场管理条例〉等二十五件法规个别条款的决定》修正）</w:t>
      </w:r>
    </w:p>
    <w:p>
      <w:pPr>
        <w:pStyle w:val="P1"/>
        <w:spacing w:lineRule="exact" w:line="600" w:before="291" w:after="291"/>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为了加强安全技术防范管理工作，保障国家、集体财产和公民生命、财产安全及其他合法权益，维护公共安全和社会治安秩序稳定，根据有关法律、法规的规定，结合本省实际，制定本条例。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在本省行政区域内从事安全技术防范产品生产、销售和安全技术防范系统设计、施工、维修、使用等活动，适用本条例。</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本条例所称安全技术防范（以下简称技防），是指运用科学技术手段，预防、发现、制止盗窃、抢劫、非法入侵、破坏、爆炸等违法犯罪行为和重大治安事故的活动。</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本条例所称安全技术防范产品（以下简称技防产品），是指用于防盗窃、防抢劫、防爆炸等防止国家、集体、个人财产以及人身安全受到侵害的并列入《安全技术防范产品目录》的专用产品。</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本条例所称安全技术防范系统（以下简称技防系统），是指以维护公共安全和社会治安秩序稳定为目的，综合应用现代科学技术手段和技防产品组成的系统。</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各级人民政府应当加强对技防工作的领导，将其纳入社会治安综合治理目标管理范围，督促有关部门做好管理工作。</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省公安机关负责全省技防工作的监督管理。</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县级以上公安机关负责本行政区域内技防工作的监督管理。</w:t>
      </w:r>
    </w:p>
    <w:p>
      <w:pPr>
        <w:pStyle w:val="P1"/>
        <w:spacing w:lineRule="exact" w:line="600"/>
        <w:ind w:firstLine="640"/>
        <w:rPr>
          <w:rStyle w:val="C3"/>
          <w:rFonts w:ascii="仿宋_GB2312" w:hAnsi="仿宋_GB2312"/>
          <w:sz w:val="32"/>
        </w:rPr>
      </w:pPr>
      <w:r>
        <w:rPr>
          <w:rStyle w:val="C3"/>
          <w:rFonts w:ascii="Microsoft YaHei UI" w:hAnsi="Microsoft YaHei UI"/>
          <w:sz w:val="32"/>
        </w:rPr>
        <w:t>有关行政管理部门应当在各自的职责范围内，做好技防管理工作。</w:t>
      </w:r>
    </w:p>
    <w:p>
      <w:pPr>
        <w:pStyle w:val="P1"/>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国家机关、社会团体、企业事业单位应当根据规定落实技防措施，提高安全防范能力，做好本单位的技防工作。</w:t>
      </w:r>
    </w:p>
    <w:p>
      <w:pPr>
        <w:pStyle w:val="P1"/>
        <w:spacing w:lineRule="exact" w:line="600"/>
        <w:ind w:firstLine="640"/>
        <w:rPr>
          <w:rStyle w:val="C3"/>
          <w:rFonts w:ascii="仿宋_GB2312" w:hAnsi="仿宋_GB2312"/>
          <w:sz w:val="32"/>
        </w:rPr>
      </w:pPr>
      <w:r>
        <w:rPr>
          <w:rStyle w:val="C3"/>
          <w:rFonts w:ascii="Microsoft YaHei UI" w:hAnsi="Microsoft YaHei UI"/>
          <w:sz w:val="32"/>
        </w:rPr>
        <w:t>新闻单位对技防设施涉密事项进行的公开报道，应当遵守国家有关保密规定。</w:t>
      </w:r>
    </w:p>
    <w:p>
      <w:pPr>
        <w:pStyle w:val="P1"/>
        <w:spacing w:lineRule="exact" w:line="600" w:before="291" w:after="291"/>
        <w:jc w:val="center"/>
        <w:rPr>
          <w:rStyle w:val="C3"/>
          <w:rFonts w:ascii="黑体" w:hAnsi="黑体"/>
          <w:sz w:val="32"/>
        </w:rPr>
      </w:pPr>
      <w:r>
        <w:rPr>
          <w:rStyle w:val="C3"/>
          <w:rFonts w:ascii="黑体" w:hAnsi="黑体"/>
          <w:sz w:val="32"/>
        </w:rPr>
        <w:t xml:space="preserve">第二章  技防预警与服务</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公安机关应当建立和完善人防、物防、技防相结合的社会治安防控体系，增强全社会预防和控制犯罪的能力。</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县级以上公安机关负责规划、指导本行政区域内报警网络的建设。</w:t>
      </w:r>
    </w:p>
    <w:p>
      <w:pPr>
        <w:pStyle w:val="P1"/>
        <w:spacing w:lineRule="exact" w:line="600"/>
        <w:ind w:firstLine="640"/>
        <w:rPr>
          <w:rStyle w:val="C3"/>
          <w:rFonts w:ascii="仿宋_GB2312" w:hAnsi="仿宋_GB2312"/>
          <w:sz w:val="32"/>
        </w:rPr>
      </w:pPr>
      <w:r>
        <w:rPr>
          <w:rStyle w:val="C3"/>
          <w:rFonts w:ascii="Microsoft YaHei UI" w:hAnsi="Microsoft YaHei UI"/>
          <w:sz w:val="32"/>
        </w:rPr>
        <w:t>安装报警装置的单位应当与当地公安机关联网，使装置报警系统的场所或者部位形成多级报警格局。</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技防系统的使用单位，应当制定技防设施的使用、维护和更新制度，保证系统的正常运行，并建立、健全值班备勤制度和警讯紧急处置预案。</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县级以上公安机关应当合理布置警力，接警人员应当</w:t>
      </w:r>
      <w:r>
        <w:rPr>
          <w:rStyle w:val="C3"/>
          <w:rFonts w:ascii="仿宋_GB2312" w:hAnsi="仿宋_GB2312"/>
          <w:sz w:val="32"/>
        </w:rPr>
        <w:t>24</w:t>
      </w:r>
      <w:r>
        <w:rPr>
          <w:rStyle w:val="C3"/>
          <w:rFonts w:ascii="Microsoft YaHei UI" w:hAnsi="Microsoft YaHei UI"/>
          <w:sz w:val="32"/>
        </w:rPr>
        <w:t>小时值班，并在接到技防系统的报警后迅速出警，及时制止违法犯罪活动。</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公安机关及其工作人员不得向装置技防产品或者技防系统的单位和个人指定产品品牌、销售单位或者技防系统的设计、施工、维修单位。</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鼓励、支持技防科学研究，发展技防产业，推广使用先进的技防产品、技防设施。</w:t>
      </w:r>
    </w:p>
    <w:p>
      <w:pPr>
        <w:pStyle w:val="P1"/>
        <w:spacing w:lineRule="exact" w:line="600" w:before="291" w:after="291"/>
        <w:jc w:val="center"/>
        <w:rPr>
          <w:rStyle w:val="C3"/>
          <w:rFonts w:ascii="黑体" w:hAnsi="黑体"/>
          <w:sz w:val="32"/>
        </w:rPr>
      </w:pPr>
      <w:r>
        <w:rPr>
          <w:rStyle w:val="C3"/>
          <w:rFonts w:ascii="黑体" w:hAnsi="黑体"/>
          <w:sz w:val="32"/>
        </w:rPr>
        <w:t xml:space="preserve">第三章  技防装置范围</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下列部位或者场所应当装置符合技防标准的技防产品或者技防系统：</w:t>
      </w:r>
    </w:p>
    <w:p>
      <w:pPr>
        <w:pStyle w:val="P1"/>
        <w:spacing w:lineRule="exact" w:line="600"/>
        <w:ind w:firstLine="640"/>
        <w:rPr>
          <w:rStyle w:val="C3"/>
          <w:rFonts w:ascii="仿宋_GB2312" w:hAnsi="仿宋_GB2312"/>
          <w:sz w:val="32"/>
        </w:rPr>
      </w:pPr>
      <w:r>
        <w:rPr>
          <w:rStyle w:val="C3"/>
          <w:rFonts w:ascii="Microsoft YaHei UI" w:hAnsi="Microsoft YaHei UI"/>
          <w:sz w:val="32"/>
        </w:rPr>
        <w:t>（一）武器、弹药及易燃、易爆、剧毒、放射性物品，致病性细菌、病毒，易制毒化学品的生产或者存放场所；</w:t>
      </w:r>
    </w:p>
    <w:p>
      <w:pPr>
        <w:pStyle w:val="P1"/>
        <w:spacing w:lineRule="exact" w:line="600"/>
        <w:ind w:firstLine="640"/>
        <w:rPr>
          <w:rStyle w:val="C3"/>
          <w:rFonts w:ascii="仿宋_GB2312" w:hAnsi="仿宋_GB2312"/>
          <w:sz w:val="32"/>
        </w:rPr>
      </w:pPr>
      <w:r>
        <w:rPr>
          <w:rStyle w:val="C3"/>
          <w:rFonts w:ascii="Microsoft YaHei UI" w:hAnsi="Microsoft YaHei UI"/>
          <w:sz w:val="32"/>
        </w:rPr>
        <w:t>（二）集中存放重要档案资料的馆、库、室；</w:t>
      </w:r>
    </w:p>
    <w:p>
      <w:pPr>
        <w:pStyle w:val="P1"/>
        <w:spacing w:lineRule="exact" w:line="600"/>
        <w:ind w:firstLine="640"/>
        <w:rPr>
          <w:rStyle w:val="C3"/>
          <w:rFonts w:ascii="仿宋_GB2312" w:hAnsi="仿宋_GB2312"/>
          <w:sz w:val="32"/>
        </w:rPr>
      </w:pPr>
      <w:r>
        <w:rPr>
          <w:rStyle w:val="C3"/>
          <w:rFonts w:ascii="Microsoft YaHei UI" w:hAnsi="Microsoft YaHei UI"/>
          <w:sz w:val="32"/>
        </w:rPr>
        <w:t>（三）博物馆及集中陈列、存放重要文物和珍贵的民族民间文化资料、实物的场所；</w:t>
      </w:r>
    </w:p>
    <w:p>
      <w:pPr>
        <w:pStyle w:val="P1"/>
        <w:spacing w:lineRule="exact" w:line="600"/>
        <w:ind w:firstLine="640"/>
        <w:rPr>
          <w:rStyle w:val="C3"/>
          <w:rFonts w:ascii="仿宋_GB2312" w:hAnsi="仿宋_GB2312"/>
          <w:sz w:val="32"/>
        </w:rPr>
      </w:pPr>
      <w:r>
        <w:rPr>
          <w:rStyle w:val="C3"/>
          <w:rFonts w:ascii="Microsoft YaHei UI" w:hAnsi="Microsoft YaHei UI"/>
          <w:sz w:val="32"/>
        </w:rPr>
        <w:t>（四）制造或者集中存放货币、有价证券、票据的场所，金融机构的重要部位；</w:t>
      </w:r>
    </w:p>
    <w:p>
      <w:pPr>
        <w:pStyle w:val="P1"/>
        <w:spacing w:lineRule="exact" w:line="600"/>
        <w:ind w:firstLine="640"/>
        <w:rPr>
          <w:rStyle w:val="C3"/>
          <w:rFonts w:ascii="仿宋_GB2312" w:hAnsi="仿宋_GB2312"/>
          <w:sz w:val="32"/>
        </w:rPr>
      </w:pPr>
      <w:r>
        <w:rPr>
          <w:rStyle w:val="C3"/>
          <w:rFonts w:ascii="Microsoft YaHei UI" w:hAnsi="Microsoft YaHei UI"/>
          <w:sz w:val="32"/>
        </w:rPr>
        <w:t>（五）广播、电视、电信、邮政及供水、供气、电力单位的重要部位；</w:t>
      </w:r>
    </w:p>
    <w:p>
      <w:pPr>
        <w:pStyle w:val="P1"/>
        <w:spacing w:lineRule="exact" w:line="600"/>
        <w:ind w:firstLine="640"/>
        <w:rPr>
          <w:rStyle w:val="C3"/>
          <w:rFonts w:ascii="仿宋_GB2312" w:hAnsi="仿宋_GB2312"/>
          <w:sz w:val="32"/>
        </w:rPr>
      </w:pPr>
      <w:r>
        <w:rPr>
          <w:rStyle w:val="C3"/>
          <w:rFonts w:ascii="Microsoft YaHei UI" w:hAnsi="Microsoft YaHei UI"/>
          <w:sz w:val="32"/>
        </w:rPr>
        <w:t>（六）机场、大型车站、大型码头及道路交通的重要部位；</w:t>
      </w:r>
    </w:p>
    <w:p>
      <w:pPr>
        <w:pStyle w:val="P1"/>
        <w:spacing w:lineRule="exact" w:line="600"/>
        <w:ind w:firstLine="640"/>
        <w:rPr>
          <w:rStyle w:val="C3"/>
          <w:rFonts w:ascii="仿宋_GB2312" w:hAnsi="仿宋_GB2312"/>
          <w:sz w:val="32"/>
        </w:rPr>
      </w:pPr>
      <w:r>
        <w:rPr>
          <w:rStyle w:val="C3"/>
          <w:rFonts w:ascii="Microsoft YaHei UI" w:hAnsi="Microsoft YaHei UI"/>
          <w:sz w:val="32"/>
        </w:rPr>
        <w:t>（七）星级酒店、大型公共娱乐场所和大型商场的主要出入口和其他主要通道。</w:t>
      </w:r>
    </w:p>
    <w:p>
      <w:pPr>
        <w:pStyle w:val="P1"/>
        <w:spacing w:lineRule="exact" w:line="600"/>
        <w:ind w:firstLine="640"/>
        <w:rPr>
          <w:rStyle w:val="C3"/>
          <w:rFonts w:ascii="仿宋_GB2312" w:hAnsi="仿宋_GB2312"/>
          <w:sz w:val="32"/>
        </w:rPr>
      </w:pPr>
      <w:r>
        <w:rPr>
          <w:rStyle w:val="C3"/>
          <w:rFonts w:ascii="Microsoft YaHei UI" w:hAnsi="Microsoft YaHei UI"/>
          <w:sz w:val="32"/>
        </w:rPr>
        <w:t>前款所列部位或者场所国家有规定的，从其规定；国家尚未规定的，由省人民政府规定。</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住宅小区、机动车停车场等场所或者部位，可以自愿装置技防产品或者技防系统。</w:t>
      </w:r>
    </w:p>
    <w:p>
      <w:pPr>
        <w:pStyle w:val="P1"/>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任何单位和个人不得非法利用技防产品、技防系统或者技防维修技术侵犯他人的合法权益。</w:t>
      </w:r>
    </w:p>
    <w:p>
      <w:pPr>
        <w:pStyle w:val="P1"/>
        <w:spacing w:lineRule="exact" w:line="600" w:before="291" w:after="291"/>
        <w:jc w:val="center"/>
        <w:rPr>
          <w:rStyle w:val="C3"/>
          <w:rFonts w:ascii="黑体" w:hAnsi="黑体"/>
          <w:sz w:val="32"/>
        </w:rPr>
      </w:pPr>
      <w:r>
        <w:rPr>
          <w:rStyle w:val="C3"/>
          <w:rFonts w:ascii="黑体" w:hAnsi="黑体"/>
          <w:sz w:val="32"/>
        </w:rPr>
        <w:t xml:space="preserve">第四章  技防产品</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对未能纳入工业产品生产许可证制度、强制性认证制度管理的技防产品，实行生产登记制度。</w:t>
      </w:r>
    </w:p>
    <w:p>
      <w:pPr>
        <w:pStyle w:val="P1"/>
        <w:spacing w:lineRule="exact" w:line="600"/>
        <w:ind w:firstLine="640"/>
        <w:rPr>
          <w:rStyle w:val="C3"/>
          <w:rFonts w:ascii="仿宋_GB2312" w:hAnsi="仿宋_GB2312"/>
          <w:sz w:val="32"/>
        </w:rPr>
      </w:pPr>
      <w:r>
        <w:rPr>
          <w:rStyle w:val="C3"/>
          <w:rFonts w:ascii="Microsoft YaHei UI" w:hAnsi="Microsoft YaHei UI"/>
          <w:sz w:val="32"/>
        </w:rPr>
        <w:t>实行生产登记制度的技防产品，必须经省公安机关批准生产登记后，方能生产销售。</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申请技防产品生产登记的，应当持下列资料向所在地市、州、地公安机关提出申请：</w:t>
      </w:r>
    </w:p>
    <w:p>
      <w:pPr>
        <w:pStyle w:val="P1"/>
        <w:spacing w:lineRule="exact" w:line="600"/>
        <w:ind w:firstLine="640"/>
        <w:rPr>
          <w:rStyle w:val="C3"/>
          <w:rFonts w:ascii="仿宋_GB2312" w:hAnsi="仿宋_GB2312"/>
          <w:sz w:val="32"/>
        </w:rPr>
      </w:pPr>
      <w:r>
        <w:rPr>
          <w:rStyle w:val="C3"/>
          <w:rFonts w:ascii="Microsoft YaHei UI" w:hAnsi="Microsoft YaHei UI"/>
          <w:sz w:val="32"/>
        </w:rPr>
        <w:t>（一）生产登记申请书；</w:t>
      </w:r>
    </w:p>
    <w:p>
      <w:pPr>
        <w:pStyle w:val="P1"/>
        <w:spacing w:lineRule="exact" w:line="600"/>
        <w:ind w:firstLine="640"/>
        <w:rPr>
          <w:rStyle w:val="C3"/>
          <w:rFonts w:ascii="仿宋_GB2312" w:hAnsi="仿宋_GB2312"/>
          <w:sz w:val="32"/>
        </w:rPr>
      </w:pPr>
      <w:r>
        <w:rPr>
          <w:rStyle w:val="C3"/>
          <w:rFonts w:ascii="Microsoft YaHei UI" w:hAnsi="Microsoft YaHei UI"/>
          <w:sz w:val="32"/>
        </w:rPr>
        <w:t>（二）营业执照；</w:t>
      </w:r>
    </w:p>
    <w:p>
      <w:pPr>
        <w:pStyle w:val="P1"/>
        <w:spacing w:lineRule="exact" w:line="600"/>
        <w:ind w:firstLine="640"/>
        <w:rPr>
          <w:rStyle w:val="C3"/>
          <w:rFonts w:ascii="仿宋_GB2312" w:hAnsi="仿宋_GB2312"/>
          <w:sz w:val="32"/>
        </w:rPr>
      </w:pPr>
      <w:r>
        <w:rPr>
          <w:rStyle w:val="C3"/>
          <w:rFonts w:ascii="Microsoft YaHei UI" w:hAnsi="Microsoft YaHei UI"/>
          <w:sz w:val="32"/>
        </w:rPr>
        <w:t>（三）符合法定要求的产品标准；</w:t>
      </w:r>
    </w:p>
    <w:p>
      <w:pPr>
        <w:pStyle w:val="P1"/>
        <w:spacing w:lineRule="exact" w:line="600"/>
        <w:ind w:firstLine="640"/>
        <w:rPr>
          <w:rStyle w:val="C3"/>
          <w:rFonts w:ascii="仿宋_GB2312" w:hAnsi="仿宋_GB2312"/>
          <w:sz w:val="32"/>
        </w:rPr>
      </w:pPr>
      <w:r>
        <w:rPr>
          <w:rStyle w:val="C3"/>
          <w:rFonts w:ascii="Microsoft YaHei UI" w:hAnsi="Microsoft YaHei UI"/>
          <w:sz w:val="32"/>
        </w:rPr>
        <w:t>（四）法定产品质量检验机构出具的型式检验报告。</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市、州、地公安机关应当自收到技防产品生产登记申请之日起</w:t>
      </w:r>
      <w:r>
        <w:rPr>
          <w:rStyle w:val="C3"/>
          <w:rFonts w:ascii="仿宋_GB2312" w:hAnsi="仿宋_GB2312"/>
          <w:sz w:val="32"/>
        </w:rPr>
        <w:t>15</w:t>
      </w:r>
      <w:r>
        <w:rPr>
          <w:rStyle w:val="C3"/>
          <w:rFonts w:ascii="Microsoft YaHei UI" w:hAnsi="Microsoft YaHei UI"/>
          <w:sz w:val="32"/>
        </w:rPr>
        <w:t>日内完成初审。初审合格的，报送省公安机关核准；初审不合格的，退回申请并说明理由。</w:t>
      </w:r>
    </w:p>
    <w:p>
      <w:pPr>
        <w:pStyle w:val="P1"/>
        <w:spacing w:lineRule="exact" w:line="600"/>
        <w:ind w:firstLine="640"/>
        <w:rPr>
          <w:rStyle w:val="C3"/>
          <w:rFonts w:ascii="仿宋_GB2312" w:hAnsi="仿宋_GB2312"/>
          <w:sz w:val="32"/>
        </w:rPr>
      </w:pPr>
      <w:r>
        <w:rPr>
          <w:rStyle w:val="C3"/>
          <w:rFonts w:ascii="Microsoft YaHei UI" w:hAnsi="Microsoft YaHei UI"/>
          <w:sz w:val="32"/>
        </w:rPr>
        <w:t>省公安机关应当自收到初审意见之日起</w:t>
      </w:r>
      <w:r>
        <w:rPr>
          <w:rStyle w:val="C3"/>
          <w:rFonts w:ascii="仿宋_GB2312" w:hAnsi="仿宋_GB2312"/>
          <w:sz w:val="32"/>
        </w:rPr>
        <w:t>7</w:t>
      </w:r>
      <w:r>
        <w:rPr>
          <w:rStyle w:val="C3"/>
          <w:rFonts w:ascii="Microsoft YaHei UI" w:hAnsi="Microsoft YaHei UI"/>
          <w:sz w:val="32"/>
        </w:rPr>
        <w:t>日内，对符合条件的，核发生产登记批准书；对不符合条件的，作出不批准的决定并说明理由。</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生产技防产品的单位，应当严格执行质量技术监督法律、法规的有关规定，保证产品符合有关质量标准。</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经营技防产品的单位和个人，应当到县级以上公安机关备案，并实行进货检查验证制度，验明生产单位的产品质量检验合格证明和工业产品生产许可证证书或者安全认证证书或者生产登记批准书。</w:t>
      </w:r>
    </w:p>
    <w:p>
      <w:pPr>
        <w:pStyle w:val="P1"/>
        <w:spacing w:lineRule="exact" w:line="600" w:before="291" w:after="291"/>
        <w:jc w:val="center"/>
        <w:rPr>
          <w:rStyle w:val="C3"/>
          <w:rFonts w:ascii="黑体" w:hAnsi="黑体"/>
          <w:sz w:val="32"/>
        </w:rPr>
      </w:pPr>
      <w:r>
        <w:rPr>
          <w:rStyle w:val="C3"/>
          <w:rFonts w:ascii="黑体" w:hAnsi="黑体"/>
          <w:sz w:val="32"/>
        </w:rPr>
        <w:t xml:space="preserve">第五章  技防系统</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技防工程设计规范由公安机关会同建设行政主管部门制定，并纳入建筑工程设计规范。设计部门在进行建筑设计时，应当遵守技防工程建筑设计规范。</w:t>
      </w:r>
    </w:p>
    <w:p>
      <w:pPr>
        <w:pStyle w:val="P1"/>
        <w:spacing w:lineRule="exact" w:line="600"/>
        <w:ind w:firstLine="640"/>
        <w:rPr>
          <w:rStyle w:val="C3"/>
          <w:rFonts w:ascii="仿宋_GB2312" w:hAnsi="仿宋_GB2312"/>
          <w:sz w:val="32"/>
        </w:rPr>
      </w:pPr>
      <w:r>
        <w:rPr>
          <w:rStyle w:val="C3"/>
          <w:rFonts w:ascii="Microsoft YaHei UI" w:hAnsi="Microsoft YaHei UI"/>
          <w:sz w:val="32"/>
        </w:rPr>
        <w:t>技防系统的设计方案应当执行国家有关标准，并报县级以上公安机关备案；</w:t>
      </w:r>
    </w:p>
    <w:p>
      <w:pPr>
        <w:pStyle w:val="P1"/>
        <w:spacing w:lineRule="exact" w:line="600"/>
        <w:ind w:firstLine="640"/>
        <w:rPr>
          <w:rStyle w:val="C3"/>
          <w:rFonts w:ascii="仿宋_GB2312" w:hAnsi="仿宋_GB2312"/>
          <w:sz w:val="32"/>
        </w:rPr>
      </w:pPr>
      <w:r>
        <w:rPr>
          <w:rStyle w:val="C3"/>
          <w:rFonts w:ascii="Microsoft YaHei UI" w:hAnsi="Microsoft YaHei UI"/>
          <w:sz w:val="32"/>
        </w:rPr>
        <w:t>技防工程竣工后，由建设单位按照技防系统验收规则组织验收，并应当有县级以上公安机关参加；技防系统验收不合格的，限期整改。</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建设单位或者总承包单位不得将技防系统工程发包给不符合国家规定条件的单位或者个人设计、施工、维修。</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承接技防系统设计、施工和维修业务的，应当持中标通知书或者承包合同向县级以上公安机关备案。</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技防系统的设计、施工、验收、维修、建设和使用单位应当妥善保管技防系统的设计图纸和相关资料，制定安全保密制度。</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技防系统竣工验收前，应当经公安部授权的检测机构按照国家标准进行系统检测，检测工作由县级以上公安机关及时组织实施。</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涉及国家安全、国家秘密的技防系统的设计、施工和维修，按照国家有关规定执行。</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对已经装置运行的技防系统，任何单位和个人不得有下列行为：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（一）毁坏技防系统的设备、设施；</w:t>
      </w:r>
    </w:p>
    <w:p>
      <w:pPr>
        <w:pStyle w:val="P1"/>
        <w:spacing w:lineRule="exact" w:line="600"/>
        <w:ind w:firstLine="640"/>
        <w:rPr>
          <w:rStyle w:val="C3"/>
          <w:rFonts w:ascii="仿宋_GB2312" w:hAnsi="仿宋_GB2312"/>
          <w:sz w:val="32"/>
        </w:rPr>
      </w:pPr>
      <w:r>
        <w:rPr>
          <w:rStyle w:val="C3"/>
          <w:rFonts w:ascii="Microsoft YaHei UI" w:hAnsi="Microsoft YaHei UI"/>
          <w:sz w:val="32"/>
        </w:rPr>
        <w:t>（二）破坏、删除、修改技防系统的运行程序和记录；</w:t>
      </w:r>
    </w:p>
    <w:p>
      <w:pPr>
        <w:pStyle w:val="P1"/>
        <w:spacing w:lineRule="exact" w:line="600"/>
        <w:ind w:firstLine="640"/>
        <w:rPr>
          <w:rStyle w:val="C3"/>
          <w:rFonts w:ascii="仿宋_GB2312" w:hAnsi="仿宋_GB2312"/>
          <w:sz w:val="32"/>
        </w:rPr>
      </w:pPr>
      <w:r>
        <w:rPr>
          <w:rStyle w:val="C3"/>
          <w:rFonts w:ascii="Microsoft YaHei UI" w:hAnsi="Microsoft YaHei UI"/>
          <w:sz w:val="32"/>
        </w:rPr>
        <w:t>（三）擅自改变技防系统的用途和范围；</w:t>
      </w:r>
    </w:p>
    <w:p>
      <w:pPr>
        <w:pStyle w:val="P1"/>
        <w:spacing w:lineRule="exact" w:line="600"/>
        <w:ind w:firstLine="640"/>
        <w:rPr>
          <w:rStyle w:val="C3"/>
          <w:rFonts w:ascii="仿宋_GB2312" w:hAnsi="仿宋_GB2312"/>
          <w:sz w:val="32"/>
        </w:rPr>
      </w:pPr>
      <w:r>
        <w:rPr>
          <w:rStyle w:val="C3"/>
          <w:rFonts w:ascii="Microsoft YaHei UI" w:hAnsi="Microsoft YaHei UI"/>
          <w:sz w:val="32"/>
        </w:rPr>
        <w:t>（四）泄露技防系统的秘密；</w:t>
      </w:r>
    </w:p>
    <w:p>
      <w:pPr>
        <w:pStyle w:val="P1"/>
        <w:spacing w:lineRule="exact" w:line="600"/>
        <w:ind w:firstLine="640"/>
        <w:rPr>
          <w:rStyle w:val="C3"/>
          <w:rFonts w:ascii="仿宋_GB2312" w:hAnsi="仿宋_GB2312"/>
          <w:sz w:val="32"/>
        </w:rPr>
      </w:pPr>
      <w:r>
        <w:rPr>
          <w:rStyle w:val="C3"/>
          <w:rFonts w:ascii="Microsoft YaHei UI" w:hAnsi="Microsoft YaHei UI"/>
          <w:sz w:val="32"/>
        </w:rPr>
        <w:t>（五）擅自使用技防系统的记录资料。</w:t>
      </w:r>
    </w:p>
    <w:p>
      <w:pPr>
        <w:pStyle w:val="P1"/>
        <w:spacing w:lineRule="exact" w:line="600" w:before="291" w:after="291"/>
        <w:jc w:val="center"/>
        <w:rPr>
          <w:rStyle w:val="C3"/>
          <w:rFonts w:ascii="黑体" w:hAnsi="黑体"/>
          <w:sz w:val="32"/>
        </w:rPr>
      </w:pPr>
      <w:r>
        <w:rPr>
          <w:rStyle w:val="C3"/>
          <w:rFonts w:ascii="黑体" w:hAnsi="黑体"/>
          <w:sz w:val="32"/>
        </w:rPr>
        <w:t xml:space="preserve">第六章  法律责任</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公安机关及其工作人员违反本条例规定，有下列行为之一，尚不构成犯罪的，对直接负责的主管人员和其他直接责任人员依法给予行政处分：</w:t>
      </w:r>
    </w:p>
    <w:p>
      <w:pPr>
        <w:pStyle w:val="P1"/>
        <w:spacing w:lineRule="exact" w:line="600"/>
        <w:ind w:firstLine="640"/>
        <w:rPr>
          <w:rStyle w:val="C3"/>
          <w:rFonts w:ascii="仿宋_GB2312" w:hAnsi="仿宋_GB2312"/>
          <w:sz w:val="32"/>
        </w:rPr>
      </w:pPr>
      <w:r>
        <w:rPr>
          <w:rStyle w:val="C3"/>
          <w:rFonts w:ascii="Microsoft YaHei UI" w:hAnsi="Microsoft YaHei UI"/>
          <w:sz w:val="32"/>
        </w:rPr>
        <w:t>（一）指定技防产品的品牌、销售单位或者技防系统的设计、施工、维修单位的；</w:t>
      </w:r>
    </w:p>
    <w:p>
      <w:pPr>
        <w:pStyle w:val="P1"/>
        <w:spacing w:lineRule="exact" w:line="600"/>
        <w:ind w:firstLine="640"/>
        <w:rPr>
          <w:rStyle w:val="C3"/>
          <w:rFonts w:ascii="仿宋_GB2312" w:hAnsi="仿宋_GB2312"/>
          <w:sz w:val="32"/>
        </w:rPr>
      </w:pPr>
      <w:r>
        <w:rPr>
          <w:rStyle w:val="C3"/>
          <w:rFonts w:ascii="Microsoft YaHei UI" w:hAnsi="Microsoft YaHei UI"/>
          <w:sz w:val="32"/>
        </w:rPr>
        <w:t>（二）滥用审批权限的；</w:t>
      </w:r>
    </w:p>
    <w:p>
      <w:pPr>
        <w:pStyle w:val="P1"/>
        <w:spacing w:lineRule="exact" w:line="600"/>
        <w:ind w:firstLine="640"/>
        <w:rPr>
          <w:rStyle w:val="C3"/>
          <w:rFonts w:ascii="仿宋_GB2312" w:hAnsi="仿宋_GB2312"/>
          <w:sz w:val="32"/>
        </w:rPr>
      </w:pPr>
      <w:r>
        <w:rPr>
          <w:rStyle w:val="C3"/>
          <w:rFonts w:ascii="Microsoft YaHei UI" w:hAnsi="Microsoft YaHei UI"/>
          <w:sz w:val="32"/>
        </w:rPr>
        <w:t>（三）不履行或者不及时履行职责、发现违法行为不予查处的；</w:t>
      </w:r>
    </w:p>
    <w:p>
      <w:pPr>
        <w:pStyle w:val="P1"/>
        <w:spacing w:lineRule="exact" w:line="600"/>
        <w:ind w:firstLine="640"/>
        <w:rPr>
          <w:rStyle w:val="C3"/>
          <w:rFonts w:ascii="仿宋_GB2312" w:hAnsi="仿宋_GB2312"/>
          <w:sz w:val="32"/>
        </w:rPr>
      </w:pPr>
      <w:r>
        <w:rPr>
          <w:rStyle w:val="C3"/>
          <w:rFonts w:ascii="Microsoft YaHei UI" w:hAnsi="Microsoft YaHei UI"/>
          <w:sz w:val="32"/>
        </w:rPr>
        <w:t>（四）利用职务上的便利收取他人财物或者获取其他利益的；</w:t>
      </w:r>
    </w:p>
    <w:p>
      <w:pPr>
        <w:pStyle w:val="P1"/>
        <w:spacing w:lineRule="exact" w:line="600"/>
        <w:ind w:firstLine="640"/>
        <w:rPr>
          <w:rStyle w:val="C3"/>
          <w:rFonts w:ascii="仿宋_GB2312" w:hAnsi="仿宋_GB2312"/>
          <w:sz w:val="32"/>
        </w:rPr>
      </w:pPr>
      <w:r>
        <w:rPr>
          <w:rStyle w:val="C3"/>
          <w:rFonts w:ascii="Microsoft YaHei UI" w:hAnsi="Microsoft YaHei UI"/>
          <w:sz w:val="32"/>
        </w:rPr>
        <w:t>（五）有其他玩忽职守、滥用职权、徇私舞弊行为的。</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违反本条例第十三条第一款规定，由县级以上公安机关依法给予警告，并责令限期改正；逾期不改正的，对单位处以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造成严重后果的，对单位处以</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万元以下罚款，对单位直接负责的主管人员和其他直接责任人员处以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违反本条例第十五条规定，依法予以处罚，尚不构成犯罪的，由</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县级以上公安机关处以</w:t>
      </w:r>
      <w:r>
        <w:rPr>
          <w:rStyle w:val="C3"/>
          <w:rFonts w:ascii="仿宋_GB2312" w:hAnsi="仿宋_GB2312"/>
          <w:sz w:val="32"/>
        </w:rPr>
        <w:t>1000</w:t>
      </w:r>
      <w:r>
        <w:rPr>
          <w:rStyle w:val="C3"/>
          <w:rFonts w:ascii="Microsoft YaHei UI" w:hAnsi="Microsoft YaHei UI"/>
          <w:sz w:val="32"/>
        </w:rPr>
        <w:t>元以上１万元以下罚款。</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违反本条例第十六条第二款、第二十一条第二款、第二十二条规定，除有关法律、法规另有规定外，由县级以上公安机关给予警告，责令限期改正，有违法所得的，没收违法所得；逾期不改正的，处以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违反本条例第二十条、第二十三条规定，由县级以上公安机关给予警告，责令限期改正，有违法所得的，没收违法所得；逾期不改正的，处以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单位违反本条例第二十七条规定，尚不构成犯罪的，由县级以上公安机关依法给予警告，责令限期改正；逾期不改正的，处以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万元以下罚款，并对直接负责的主管人员和其他直接责任人员处以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个人违反本条例第二十七条规定，尚不构成犯罪的，由县级以上公安机关给予警告，责令限期改正；逾期不改正的，处以</w:t>
      </w:r>
      <w:r>
        <w:rPr>
          <w:rStyle w:val="C3"/>
          <w:rFonts w:ascii="仿宋_GB2312" w:hAnsi="仿宋_GB2312"/>
          <w:sz w:val="32"/>
        </w:rPr>
        <w:t>1000</w:t>
      </w:r>
      <w:r>
        <w:rPr>
          <w:rStyle w:val="C3"/>
          <w:rFonts w:ascii="Microsoft YaHei UI" w:hAnsi="Microsoft YaHei UI"/>
          <w:sz w:val="32"/>
        </w:rPr>
        <w:t>元以上１万元以下罚款。</w:t>
      </w:r>
    </w:p>
    <w:p>
      <w:pPr>
        <w:pStyle w:val="P1"/>
        <w:spacing w:lineRule="exact" w:line="600"/>
        <w:ind w:firstLine="640"/>
        <w:rPr>
          <w:rStyle w:val="C3"/>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伪造、变造、涂改技防产品或者技防系统有关证书，尚不构成犯罪的，由县级以上公安机关处以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万元以下罚款，有违法所得的，没收违法所得。</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814" w:bottom="1304" w:header="851" w:footer="130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YLmF</dc:creator>
  <dcterms:created xsi:type="dcterms:W3CDTF">2016-09-29T08:17:00Z</dcterms:created>
  <cp:lastModifiedBy>f1TZOF\f1TZOF-</cp:lastModifiedBy>
  <dcterms:modified xsi:type="dcterms:W3CDTF">2024-08-28T01:35:46Z</dcterms:modified>
  <cp:revision>4</cp:revision>
  <dc:title>贵州省安全技术防范管理条例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