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E1AFBF3" Type="http://schemas.openxmlformats.org/officeDocument/2006/relationships/officeDocument" Target="/word/document.xml" /><Relationship Id="coreR7E1AFBF3" Type="http://schemas.openxmlformats.org/package/2006/relationships/metadata/core-properties" Target="/docProps/core.xml" /><Relationship Id="customR7E1AFBF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keepNext w:val="0"/>
        <w:keepLines w:val="0"/>
        <w:widowControl w:val="0"/>
        <w:spacing w:lineRule="exact" w:line="640"/>
        <w:ind w:firstLine="0" w:left="0" w:right="0"/>
        <w:jc w:val="center"/>
        <w:rPr>
          <w:rStyle w:val="C3"/>
          <w:rFonts w:ascii="方正小标宋简体" w:hAnsi="方正小标宋简体"/>
          <w:sz w:val="44"/>
        </w:rPr>
      </w:pPr>
      <w:r>
        <w:rPr>
          <w:rStyle w:val="C3"/>
          <w:rFonts w:ascii="Microsoft YaHei UI" w:hAnsi="Microsoft YaHei UI"/>
          <w:sz w:val="44"/>
        </w:rPr>
        <w:t>黑龙江省人民代表大会常务委员会关于</w:t>
      </w:r>
    </w:p>
    <w:p>
      <w:pPr>
        <w:pStyle w:val="P1"/>
        <w:keepNext w:val="0"/>
        <w:keepLines w:val="0"/>
        <w:widowControl w:val="0"/>
        <w:spacing w:lineRule="exact" w:line="640"/>
        <w:ind w:firstLine="0" w:left="0" w:right="0"/>
        <w:jc w:val="center"/>
        <w:rPr>
          <w:rStyle w:val="C3"/>
          <w:rFonts w:ascii="方正小标宋简体" w:hAnsi="方正小标宋简体"/>
          <w:sz w:val="44"/>
        </w:rPr>
      </w:pPr>
      <w:r>
        <w:rPr>
          <w:rStyle w:val="C3"/>
          <w:rFonts w:ascii="Microsoft YaHei UI" w:hAnsi="Microsoft YaHei UI"/>
          <w:sz w:val="44"/>
        </w:rPr>
        <w:t>实施资源税法授权事项的决定</w:t>
      </w:r>
    </w:p>
    <w:p>
      <w:pPr>
        <w:pStyle w:val="P2"/>
        <w:widowControl w:val="1"/>
        <w:shd w:val="clear" w:fill="FFFFFF"/>
        <w:spacing w:lineRule="exact" w:line="560"/>
        <w:jc w:val="center"/>
        <w:rPr>
          <w:rStyle w:val="C3"/>
          <w:rFonts w:ascii="仿宋_GB2312" w:hAnsi="仿宋_GB2312"/>
          <w:sz w:val="32"/>
          <w:u w:val="none"/>
        </w:rPr>
      </w:pPr>
      <w:r>
        <w:rPr>
          <w:rStyle w:val="C3"/>
          <w:rFonts w:ascii="仿宋_GB2312" w:hAnsi="仿宋_GB2312"/>
          <w:sz w:val="32"/>
          <w:u w:val="none"/>
        </w:rPr>
        <w:t>(2020</w:t>
      </w:r>
      <w:r>
        <w:rPr>
          <w:rStyle w:val="C3"/>
          <w:rFonts w:ascii="Microsoft YaHei UI" w:hAnsi="Microsoft YaHei UI"/>
          <w:sz w:val="32"/>
          <w:u w:val="none"/>
        </w:rPr>
        <w:t>年</w:t>
      </w:r>
      <w:r>
        <w:rPr>
          <w:rStyle w:val="C3"/>
          <w:rFonts w:ascii="仿宋_GB2312" w:hAnsi="仿宋_GB2312"/>
          <w:sz w:val="32"/>
          <w:u w:val="none"/>
        </w:rPr>
        <w:t>8</w:t>
      </w:r>
      <w:r>
        <w:rPr>
          <w:rStyle w:val="C3"/>
          <w:rFonts w:ascii="Microsoft YaHei UI" w:hAnsi="Microsoft YaHei UI"/>
          <w:sz w:val="32"/>
          <w:u w:val="none"/>
        </w:rPr>
        <w:t>月</w:t>
      </w:r>
      <w:r>
        <w:rPr>
          <w:rStyle w:val="C3"/>
          <w:rFonts w:ascii="仿宋_GB2312" w:hAnsi="仿宋_GB2312"/>
          <w:sz w:val="32"/>
          <w:u w:val="none"/>
        </w:rPr>
        <w:t>21</w:t>
      </w:r>
      <w:r>
        <w:rPr>
          <w:rStyle w:val="C3"/>
          <w:rFonts w:ascii="Microsoft YaHei UI" w:hAnsi="Microsoft YaHei UI"/>
          <w:sz w:val="32"/>
          <w:u w:val="none"/>
        </w:rPr>
        <w:t>日黑龙江省第十三届人民代表大会常务委员会</w:t>
      </w:r>
    </w:p>
    <w:p>
      <w:pPr>
        <w:pStyle w:val="P2"/>
        <w:widowControl w:val="1"/>
        <w:shd w:val="clear" w:fill="FFFFFF"/>
        <w:spacing w:lineRule="exact" w:line="560"/>
        <w:jc w:val="center"/>
        <w:rPr>
          <w:rStyle w:val="C3"/>
          <w:rFonts w:ascii="仿宋_GB2312" w:hAnsi="仿宋_GB2312"/>
          <w:sz w:val="32"/>
          <w:u w:val="none"/>
        </w:rPr>
      </w:pPr>
      <w:r>
        <w:rPr>
          <w:rStyle w:val="C3"/>
          <w:rFonts w:ascii="Microsoft YaHei UI" w:hAnsi="Microsoft YaHei UI"/>
          <w:sz w:val="32"/>
          <w:u w:val="none"/>
        </w:rPr>
        <w:t>第二十次会议通过</w:t>
      </w:r>
      <w:r>
        <w:rPr>
          <w:rStyle w:val="C3"/>
          <w:rFonts w:ascii="仿宋_GB2312" w:hAnsi="仿宋_GB2312"/>
          <w:sz w:val="32"/>
          <w:u w:val="none"/>
        </w:rPr>
        <w:t>)</w:t>
      </w:r>
    </w:p>
    <w:p>
      <w:pPr>
        <w:pStyle w:val="P2"/>
        <w:widowControl w:val="1"/>
        <w:shd w:val="clear" w:fill="FFFFFF"/>
        <w:spacing w:lineRule="exact" w:line="560"/>
        <w:jc w:val="center"/>
        <w:rPr>
          <w:rStyle w:val="C3"/>
          <w:rFonts w:ascii="仿宋_GB2312" w:hAnsi="仿宋_GB2312"/>
          <w:sz w:val="32"/>
          <w:u w:val="none"/>
        </w:rPr>
      </w:pPr>
    </w:p>
    <w:p>
      <w:pPr>
        <w:pStyle w:val="P2"/>
        <w:widowControl w:val="1"/>
        <w:shd w:val="clear" w:fill="FFFFFF"/>
        <w:spacing w:lineRule="exact" w:line="560"/>
        <w:ind w:firstLine="640"/>
        <w:jc w:val="left"/>
        <w:rPr>
          <w:rStyle w:val="C3"/>
          <w:rFonts w:ascii="仿宋_GB2312" w:hAnsi="仿宋_GB2312"/>
          <w:color w:val="000000"/>
          <w:sz w:val="32"/>
        </w:rPr>
      </w:pPr>
      <w:r>
        <w:rPr>
          <w:rStyle w:val="C3"/>
          <w:rFonts w:ascii="Microsoft YaHei UI" w:hAnsi="Microsoft YaHei UI"/>
          <w:color w:val="000000"/>
          <w:sz w:val="32"/>
        </w:rPr>
        <w:t>为了促进资源节约集约利用、加强生态环境保护，根据《中华人民共和国资源税法》（以下简称《资源税法》）有关授权规定，统筹考虑本省应税资源品位、开采条件以及对生态环境和经济发展影响等情况，现就本省相关资源税的具体适用税率、计征方式以及免征或者减征的具体办法作如下决定：</w:t>
      </w:r>
    </w:p>
    <w:p>
      <w:pPr>
        <w:pStyle w:val="P2"/>
        <w:widowControl w:val="1"/>
        <w:shd w:val="clear" w:fill="FFFFFF"/>
        <w:spacing w:lineRule="exact" w:line="560"/>
        <w:ind w:firstLine="640"/>
        <w:jc w:val="left"/>
        <w:rPr>
          <w:rStyle w:val="C3"/>
          <w:rFonts w:ascii="仿宋_GB2312" w:hAnsi="仿宋_GB2312"/>
          <w:color w:val="000000"/>
          <w:sz w:val="32"/>
        </w:rPr>
      </w:pPr>
      <w:r>
        <w:rPr>
          <w:rStyle w:val="C3"/>
          <w:rFonts w:ascii="Microsoft YaHei UI" w:hAnsi="Microsoft YaHei UI"/>
          <w:color w:val="000000"/>
          <w:sz w:val="32"/>
        </w:rPr>
        <w:t>一、《资源税法》规定实行幅度税率的税目，具体适用税率依照本决定所附《黑龙江省资源税税目税率表》执行。</w:t>
      </w:r>
    </w:p>
    <w:p>
      <w:pPr>
        <w:pStyle w:val="P2"/>
        <w:widowControl w:val="1"/>
        <w:shd w:val="clear" w:fill="FFFFFF"/>
        <w:spacing w:lineRule="exact" w:line="560"/>
        <w:ind w:firstLine="640"/>
        <w:jc w:val="left"/>
        <w:rPr>
          <w:rStyle w:val="C3"/>
          <w:rFonts w:ascii="仿宋_GB2312" w:hAnsi="仿宋_GB2312"/>
          <w:color w:val="000000"/>
          <w:sz w:val="32"/>
        </w:rPr>
      </w:pPr>
      <w:r>
        <w:rPr>
          <w:rStyle w:val="C3"/>
          <w:rFonts w:ascii="Microsoft YaHei UI" w:hAnsi="Microsoft YaHei UI"/>
          <w:color w:val="000000"/>
          <w:sz w:val="32"/>
        </w:rPr>
        <w:t>二、《资源税法》规定可以选择实行从价计征或者从量计征的税目中，石灰岩、矿泉水、天然卤水资源税实行从价计征，地热、其他粘土、砂石资源税实行从量计征。</w:t>
      </w:r>
    </w:p>
    <w:p>
      <w:pPr>
        <w:pStyle w:val="P2"/>
        <w:widowControl w:val="1"/>
        <w:shd w:val="clear" w:fill="FFFFFF"/>
        <w:spacing w:lineRule="exact" w:line="560"/>
        <w:ind w:firstLine="640"/>
        <w:jc w:val="left"/>
        <w:rPr>
          <w:rStyle w:val="C3"/>
          <w:rFonts w:ascii="仿宋_GB2312" w:hAnsi="仿宋_GB2312"/>
          <w:color w:val="000000"/>
          <w:sz w:val="32"/>
        </w:rPr>
      </w:pPr>
      <w:r>
        <w:rPr>
          <w:rStyle w:val="C3"/>
          <w:rFonts w:ascii="Microsoft YaHei UI" w:hAnsi="Microsoft YaHei UI"/>
          <w:color w:val="000000"/>
          <w:sz w:val="32"/>
        </w:rPr>
        <w:t>三、符合《资源税法》第七条规定情形的，按照以下办法免征或者减征资源税：</w:t>
      </w:r>
    </w:p>
    <w:p>
      <w:pPr>
        <w:pStyle w:val="P2"/>
        <w:widowControl w:val="1"/>
        <w:shd w:val="clear" w:fill="FFFFFF"/>
        <w:spacing w:lineRule="exact" w:line="560"/>
        <w:ind w:firstLine="640"/>
        <w:jc w:val="left"/>
        <w:rPr>
          <w:rStyle w:val="C3"/>
          <w:rFonts w:ascii="仿宋_GB2312" w:hAnsi="仿宋_GB2312"/>
          <w:color w:val="000000"/>
          <w:sz w:val="32"/>
        </w:rPr>
      </w:pPr>
      <w:r>
        <w:rPr>
          <w:rStyle w:val="C3"/>
          <w:rFonts w:ascii="Microsoft YaHei UI" w:hAnsi="Microsoft YaHei UI"/>
          <w:color w:val="000000"/>
          <w:sz w:val="32"/>
        </w:rPr>
        <w:t>（一）纳税人开采或者生产应税产品过程中，因意外事故或者自然灾害等原因遭受重大损失，直接经济损失五千万元以上或者达到上年度资产总额百分之五十以上的，自恢复生产之日起五年内，减按百分之五十征收资源税，最高累计减征资源税额度不超过直接经济损失的百分之五十，并且不超过五千万元。</w:t>
      </w:r>
    </w:p>
    <w:p>
      <w:pPr>
        <w:pStyle w:val="P2"/>
        <w:widowControl w:val="1"/>
        <w:shd w:val="clear" w:fill="FFFFFF"/>
        <w:spacing w:lineRule="exact" w:line="560"/>
        <w:ind w:firstLine="640"/>
        <w:jc w:val="left"/>
        <w:rPr>
          <w:rStyle w:val="C3"/>
          <w:rFonts w:ascii="仿宋_GB2312" w:hAnsi="仿宋_GB2312"/>
          <w:color w:val="000000"/>
          <w:sz w:val="32"/>
          <w:u w:val="none"/>
        </w:rPr>
      </w:pPr>
      <w:r>
        <w:rPr>
          <w:rStyle w:val="C3"/>
          <w:rFonts w:ascii="Microsoft YaHei UI" w:hAnsi="Microsoft YaHei UI"/>
          <w:color w:val="000000"/>
          <w:sz w:val="32"/>
        </w:rPr>
        <w:t>（二）</w:t>
      </w:r>
      <w:r>
        <w:rPr>
          <w:rStyle w:val="C3"/>
          <w:rFonts w:ascii="Microsoft YaHei UI" w:hAnsi="Microsoft YaHei UI"/>
          <w:color w:val="000000"/>
          <w:sz w:val="32"/>
          <w:u w:val="none"/>
        </w:rPr>
        <w:t>纳税人开采共伴生矿、低品位矿减按百分之五十征收资源税，开采尾矿免征资源税。</w:t>
      </w:r>
    </w:p>
    <w:p>
      <w:pPr>
        <w:pStyle w:val="P2"/>
        <w:widowControl w:val="1"/>
        <w:shd w:val="clear" w:fill="FFFFFF"/>
        <w:spacing w:lineRule="exact" w:line="560"/>
        <w:ind w:firstLine="640"/>
        <w:jc w:val="left"/>
        <w:rPr>
          <w:rStyle w:val="C3"/>
          <w:rFonts w:ascii="仿宋_GB2312" w:hAnsi="仿宋_GB2312"/>
          <w:color w:val="000000"/>
          <w:sz w:val="32"/>
        </w:rPr>
      </w:pPr>
      <w:r>
        <w:rPr>
          <w:rStyle w:val="C3"/>
          <w:rFonts w:ascii="Microsoft YaHei UI" w:hAnsi="Microsoft YaHei UI"/>
          <w:color w:val="000000"/>
          <w:sz w:val="32"/>
        </w:rPr>
        <w:t>（三）纳税人开采销售的应税矿产品（同一笔销售业务）同时符合共伴生矿、低品位矿减税政策的，纳税人可以选择享受其中一项优惠政策，不得叠加适用，国家另有规定的除外。</w:t>
      </w:r>
    </w:p>
    <w:p>
      <w:pPr>
        <w:pStyle w:val="P2"/>
        <w:widowControl w:val="1"/>
        <w:shd w:val="clear" w:fill="FFFFFF"/>
        <w:spacing w:lineRule="exact" w:line="560"/>
        <w:ind w:firstLine="640"/>
        <w:jc w:val="left"/>
        <w:rPr>
          <w:rStyle w:val="C3"/>
          <w:rFonts w:ascii="仿宋_GB2312" w:hAnsi="仿宋_GB2312"/>
          <w:color w:val="000000"/>
          <w:sz w:val="32"/>
        </w:rPr>
      </w:pPr>
      <w:r>
        <w:rPr>
          <w:rStyle w:val="C3"/>
          <w:rFonts w:ascii="Microsoft YaHei UI" w:hAnsi="Microsoft YaHei UI"/>
          <w:color w:val="000000"/>
          <w:sz w:val="32"/>
        </w:rPr>
        <w:t>（四）共伴生矿、低品位矿、尾矿的减免税政策不适用于原油、天然气、煤炭，上述资源有关优惠政策按照国家相关规定执行。</w:t>
      </w:r>
    </w:p>
    <w:p>
      <w:pPr>
        <w:pStyle w:val="P2"/>
        <w:widowControl w:val="1"/>
        <w:shd w:val="clear" w:fill="FFFFFF"/>
        <w:spacing w:lineRule="exact" w:line="560"/>
        <w:ind w:firstLine="640"/>
        <w:jc w:val="left"/>
        <w:rPr>
          <w:rStyle w:val="C3"/>
          <w:rFonts w:ascii="仿宋_GB2312" w:hAnsi="仿宋_GB2312"/>
          <w:color w:val="000000"/>
          <w:sz w:val="32"/>
        </w:rPr>
      </w:pPr>
      <w:r>
        <w:rPr>
          <w:rStyle w:val="C3"/>
          <w:rFonts w:ascii="Microsoft YaHei UI" w:hAnsi="Microsoft YaHei UI"/>
          <w:color w:val="000000"/>
          <w:sz w:val="32"/>
        </w:rPr>
        <w:t>纳税人符合上述规定的，可申报享受税收优惠政策，并将相关材料留存备查。</w:t>
      </w:r>
    </w:p>
    <w:p>
      <w:pPr>
        <w:pStyle w:val="P2"/>
        <w:widowControl w:val="1"/>
        <w:shd w:val="clear" w:fill="FFFFFF"/>
        <w:spacing w:lineRule="exact" w:line="560"/>
        <w:ind w:firstLine="640"/>
        <w:jc w:val="left"/>
        <w:rPr>
          <w:rStyle w:val="C3"/>
          <w:rFonts w:ascii="仿宋_GB2312" w:hAnsi="仿宋_GB2312"/>
          <w:color w:val="000000"/>
          <w:sz w:val="32"/>
        </w:rPr>
      </w:pPr>
      <w:r>
        <w:rPr>
          <w:rStyle w:val="C3"/>
          <w:rFonts w:ascii="Microsoft YaHei UI" w:hAnsi="Microsoft YaHei UI"/>
          <w:color w:val="000000"/>
          <w:sz w:val="32"/>
        </w:rPr>
        <w:t>四、税务机关与自然资源、应急管理等相关部门应当建立工作配合机制，共同加强资源税征收管理。根据工作需要，税务机关可以要求自然资源、应急管理等相关部门提供与减免税相关的信息，相关部门应当在税务机关送达书面函件的十五个工作日内给予回复。</w:t>
      </w:r>
    </w:p>
    <w:p>
      <w:pPr>
        <w:pStyle w:val="P2"/>
        <w:widowControl w:val="1"/>
        <w:shd w:val="clear" w:fill="FFFFFF"/>
        <w:spacing w:lineRule="exact" w:line="560"/>
        <w:ind w:firstLine="640"/>
        <w:jc w:val="left"/>
        <w:rPr>
          <w:rStyle w:val="C3"/>
          <w:rFonts w:ascii="仿宋_GB2312" w:hAnsi="仿宋_GB2312"/>
          <w:color w:val="000000"/>
          <w:sz w:val="32"/>
        </w:rPr>
      </w:pPr>
      <w:r>
        <w:rPr>
          <w:rStyle w:val="C3"/>
          <w:rFonts w:ascii="Microsoft YaHei UI" w:hAnsi="Microsoft YaHei UI"/>
          <w:color w:val="000000"/>
          <w:sz w:val="32"/>
        </w:rPr>
        <w:t>五、本决定自</w:t>
      </w:r>
      <w:r>
        <w:rPr>
          <w:rStyle w:val="C3"/>
          <w:rFonts w:ascii="仿宋_GB2312" w:hAnsi="仿宋_GB2312"/>
          <w:color w:val="000000"/>
          <w:sz w:val="32"/>
        </w:rPr>
        <w:t>2020</w:t>
      </w:r>
      <w:r>
        <w:rPr>
          <w:rStyle w:val="C3"/>
          <w:rFonts w:ascii="Microsoft YaHei UI" w:hAnsi="Microsoft YaHei UI"/>
          <w:color w:val="000000"/>
          <w:sz w:val="32"/>
        </w:rPr>
        <w:t>年</w:t>
      </w:r>
      <w:r>
        <w:rPr>
          <w:rStyle w:val="C3"/>
          <w:rFonts w:ascii="仿宋_GB2312" w:hAnsi="仿宋_GB2312"/>
          <w:color w:val="000000"/>
          <w:sz w:val="32"/>
        </w:rPr>
        <w:t>9</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p>
      <w:pPr>
        <w:pStyle w:val="P2"/>
        <w:widowControl w:val="1"/>
        <w:shd w:val="clear" w:fill="FFFFFF"/>
        <w:spacing w:lineRule="exact" w:line="560"/>
        <w:ind w:firstLine="640"/>
        <w:jc w:val="left"/>
        <w:rPr>
          <w:rStyle w:val="C3"/>
          <w:rFonts w:ascii="仿宋_GB2312" w:hAnsi="仿宋_GB2312"/>
          <w:color w:val="000000"/>
          <w:sz w:val="32"/>
        </w:rPr>
      </w:pPr>
    </w:p>
    <w:p>
      <w:pPr>
        <w:pStyle w:val="P2"/>
        <w:widowControl w:val="1"/>
        <w:shd w:val="clear" w:fill="FFFFFF"/>
        <w:spacing w:lineRule="exact" w:line="560"/>
        <w:ind w:firstLine="640"/>
        <w:jc w:val="left"/>
        <w:rPr>
          <w:rStyle w:val="C3"/>
          <w:rFonts w:ascii="仿宋_GB2312" w:hAnsi="仿宋_GB2312"/>
          <w:color w:val="000000"/>
          <w:sz w:val="32"/>
        </w:rPr>
      </w:pPr>
      <w:r>
        <w:rPr>
          <w:rStyle w:val="C3"/>
          <w:rFonts w:ascii="Microsoft YaHei UI" w:hAnsi="Microsoft YaHei UI"/>
          <w:color w:val="333333"/>
          <w:sz w:val="32"/>
        </w:rPr>
        <w:t>附件：</w:t>
      </w:r>
      <w:r>
        <w:rPr>
          <w:rStyle w:val="C3"/>
          <w:rFonts w:ascii="Microsoft YaHei UI" w:hAnsi="Microsoft YaHei UI"/>
          <w:color w:val="000000"/>
          <w:sz w:val="32"/>
        </w:rPr>
        <w:t>黑龙江省资源税税目税率表</w:t>
      </w:r>
    </w:p>
    <w:p>
      <w:pPr>
        <w:pStyle w:val="P2"/>
        <w:widowControl w:val="1"/>
        <w:shd w:val="clear" w:fill="FFFFFF"/>
        <w:spacing w:lineRule="exact" w:line="560"/>
        <w:ind w:firstLine="640"/>
        <w:jc w:val="left"/>
        <w:rPr>
          <w:rStyle w:val="C3"/>
          <w:rFonts w:ascii="仿宋_GB2312" w:hAnsi="仿宋_GB2312"/>
          <w:color w:val="000000"/>
          <w:sz w:val="32"/>
        </w:rPr>
      </w:pPr>
    </w:p>
    <w:p>
      <w:pPr>
        <w:pStyle w:val="P2"/>
        <w:widowControl w:val="1"/>
        <w:shd w:val="clear" w:fill="FFFFFF"/>
        <w:spacing w:lineRule="exact" w:line="560"/>
        <w:ind w:firstLine="640"/>
        <w:jc w:val="left"/>
        <w:rPr>
          <w:rStyle w:val="C3"/>
          <w:rFonts w:ascii="仿宋_GB2312" w:hAnsi="仿宋_GB2312"/>
          <w:color w:val="000000"/>
          <w:sz w:val="32"/>
        </w:rPr>
      </w:pPr>
    </w:p>
    <w:p>
      <w:pPr>
        <w:pStyle w:val="P2"/>
        <w:widowControl w:val="1"/>
        <w:shd w:val="clear" w:fill="FFFFFF"/>
        <w:spacing w:lineRule="exact" w:line="560"/>
        <w:ind w:firstLine="640"/>
        <w:jc w:val="left"/>
        <w:rPr>
          <w:rStyle w:val="C3"/>
          <w:rFonts w:ascii="仿宋_GB2312" w:hAnsi="仿宋_GB2312"/>
          <w:color w:val="000000"/>
          <w:sz w:val="32"/>
        </w:rPr>
      </w:pPr>
    </w:p>
    <w:p>
      <w:pPr>
        <w:pStyle w:val="P2"/>
        <w:widowControl w:val="1"/>
        <w:shd w:val="clear" w:fill="FFFFFF"/>
        <w:spacing w:lineRule="exact" w:line="560"/>
        <w:ind w:firstLine="640"/>
        <w:jc w:val="left"/>
        <w:rPr>
          <w:rStyle w:val="C3"/>
          <w:rFonts w:ascii="仿宋_GB2312" w:hAnsi="仿宋_GB2312"/>
          <w:color w:val="000000"/>
          <w:sz w:val="32"/>
        </w:rPr>
      </w:pPr>
    </w:p>
    <w:p>
      <w:pPr>
        <w:pStyle w:val="P2"/>
        <w:widowControl w:val="1"/>
        <w:shd w:val="clear" w:fill="FFFFFF"/>
        <w:spacing w:lineRule="exact" w:line="560"/>
        <w:ind w:firstLine="640"/>
        <w:jc w:val="left"/>
        <w:rPr>
          <w:rStyle w:val="C3"/>
          <w:rFonts w:ascii="仿宋_GB2312" w:hAnsi="仿宋_GB2312"/>
          <w:color w:val="000000"/>
          <w:sz w:val="32"/>
        </w:rPr>
      </w:pPr>
    </w:p>
    <w:p>
      <w:pPr>
        <w:pStyle w:val="P2"/>
        <w:widowControl w:val="1"/>
        <w:shd w:val="clear" w:fill="FFFFFF"/>
        <w:spacing w:lineRule="exact" w:line="560"/>
        <w:ind w:firstLine="640"/>
        <w:jc w:val="left"/>
        <w:rPr>
          <w:rStyle w:val="C3"/>
          <w:rFonts w:ascii="仿宋_GB2312" w:hAnsi="仿宋_GB2312"/>
          <w:color w:val="000000"/>
          <w:sz w:val="32"/>
        </w:rPr>
      </w:pPr>
    </w:p>
    <w:p>
      <w:pPr>
        <w:pStyle w:val="P2"/>
        <w:widowControl w:val="1"/>
        <w:shd w:val="clear" w:fill="FFFFFF"/>
        <w:spacing w:lineRule="exact" w:line="560"/>
        <w:jc w:val="left"/>
        <w:rPr>
          <w:rStyle w:val="C3"/>
          <w:rFonts w:ascii="黑体" w:hAnsi="黑体"/>
          <w:color w:val="000000"/>
          <w:sz w:val="32"/>
        </w:rPr>
      </w:pPr>
      <w:r>
        <w:rPr>
          <w:rStyle w:val="C3"/>
          <w:rFonts w:ascii="黑体" w:hAnsi="黑体"/>
          <w:color w:val="000000"/>
          <w:sz w:val="32"/>
        </w:rPr>
        <w:t>附件</w:t>
      </w:r>
    </w:p>
    <w:tbl>
      <w:tblPr>
        <w:tblStyle w:val="T2"/>
        <w:tblpPr w:leftFromText="180" w:rightFromText="180" w:tblpX="1784" w:tblpY="325" w:horzAnchor="page" w:vertAnchor="text"/>
        <w:tblOverlap w:val="never"/>
        <w:tblBorders>
          <w:top w:val="single" w:sz="4" w:space="0" w:shadow="0" w:frame="0"/>
          <w:left w:val="single" w:sz="4" w:space="0" w:shadow="0" w:frame="0"/>
          <w:bottom w:val="single" w:sz="4" w:space="0" w:shadow="0" w:frame="0"/>
          <w:right w:val="single" w:sz="4" w:space="0" w:shadow="0" w:frame="0"/>
          <w:insideH w:val="single" w:sz="6" w:space="0" w:shadow="0" w:frame="0"/>
          <w:insideV w:val="single" w:sz="6" w:space="0" w:shadow="0" w:frame="0"/>
        </w:tblBorders>
        <w:tblLayout w:type="fixed"/>
        <w:tblCellMar>
          <w:top w:w="15" w:type="dxa"/>
          <w:left w:w="15" w:type="dxa"/>
          <w:bottom w:w="15" w:type="dxa"/>
          <w:right w:w="15" w:type="dxa"/>
        </w:tblCellMar>
      </w:tblPr>
      <w:tblGrid/>
      <w:tr>
        <w:trPr>
          <w:trHeight w:hRule="exact" w:val="492"/>
        </w:trPr>
        <w:tc>
          <w:tcPr>
            <w:tcW w:w="8475" w:type="dxa"/>
            <w:gridSpan w:val="6"/>
            <w:tcBorders>
              <w:top w:val="none" w:sz="0" w:space="0" w:shadow="0" w:frame="0"/>
              <w:left w:val="none" w:sz="0" w:space="0" w:shadow="0" w:frame="0"/>
              <w:bottom w:val="single" w:sz="1" w:space="0" w:shadow="0" w:frame="0"/>
              <w:right w:val="none" w:sz="0" w:space="0" w:shadow="0" w:frame="0"/>
            </w:tcBorders>
          </w:tcPr>
          <w:p>
            <w:pPr>
              <w:pStyle w:val="P2"/>
              <w:framePr w:w="0" w:h="0" w:hRule="auto" w:vSpace="0" w:hSpace="0" w:wrap="auto" w:vAnchor="margin" w:hAnchor="text" w:x="0" w:xAlign="left" w:y="0" w:yAlign="inline"/>
              <w:widowControl w:val="1"/>
              <w:shd w:val="clear" w:fill="FFFFFF"/>
              <w:spacing w:lineRule="exact" w:line="560"/>
              <w:jc w:val="center"/>
              <w:rPr>
                <w:rStyle w:val="C3"/>
                <w:rFonts w:ascii="方正小标宋简体" w:hAnsi="方正小标宋简体"/>
                <w:b w:val="0"/>
                <w:color w:val="000000"/>
                <w:sz w:val="36"/>
              </w:rPr>
            </w:pPr>
            <w:r>
              <w:rPr>
                <w:rStyle w:val="C3"/>
                <w:rFonts w:ascii="Microsoft YaHei UI" w:hAnsi="Microsoft YaHei UI"/>
                <w:b w:val="0"/>
                <w:color w:val="000000"/>
                <w:sz w:val="36"/>
              </w:rPr>
              <w:t>黑龙江省资源税税目税率表</w:t>
            </w:r>
          </w:p>
        </w:tc>
      </w:tr>
      <w:tr>
        <w:trPr>
          <w:trHeight w:hRule="exact" w:val="397"/>
        </w:trPr>
        <w:tc>
          <w:tcPr>
            <w:tcW w:w="876" w:type="dxa"/>
            <w:tcBorders>
              <w:top w:val="single" w:sz="1" w:space="0" w:shadow="0" w:frame="0"/>
              <w:left w:val="nil" w:sz="0" w:space="0" w:shadow="0" w:frame="0" w:color="000000"/>
              <w:bottom w:val="single" w:sz="1" w:space="0" w:shadow="0" w:frame="0"/>
              <w:right w:val="single" w:sz="1" w:space="0" w:shadow="0" w:frame="0"/>
            </w:tcBorders>
          </w:tcPr>
          <w:p>
            <w:pPr>
              <w:pStyle w:val="P1"/>
              <w:framePr w:w="0" w:h="0" w:hRule="auto" w:vSpace="0" w:hSpace="0" w:wrap="auto" w:vAnchor="margin" w:hAnchor="text" w:x="0" w:xAlign="left" w:y="0" w:yAlign="inline"/>
              <w:widowControl w:val="1"/>
              <w:jc w:val="center"/>
              <w:rPr>
                <w:rStyle w:val="C3"/>
                <w:rFonts w:ascii="仿宋_GB2312" w:hAnsi="仿宋_GB2312"/>
                <w:b w:val="1"/>
                <w:color w:val="000000"/>
                <w:sz w:val="24"/>
              </w:rPr>
            </w:pPr>
            <w:r>
              <w:rPr>
                <w:rStyle w:val="C3"/>
                <w:rFonts w:ascii="Microsoft YaHei UI" w:hAnsi="Microsoft YaHei UI"/>
                <w:b w:val="1"/>
                <w:color w:val="000000"/>
                <w:sz w:val="24"/>
              </w:rPr>
              <w:t>序号</w:t>
            </w:r>
          </w:p>
        </w:tc>
        <w:tc>
          <w:tcPr>
            <w:tcW w:w="3874" w:type="dxa"/>
            <w:gridSpan w:val="3"/>
            <w:tcBorders>
              <w:top w:val="single" w:sz="1" w:space="0" w:shadow="0" w:frame="0"/>
              <w:left w:val="single" w:sz="1" w:space="0" w:shadow="0" w:frame="0"/>
              <w:bottom w:val="single" w:sz="1" w:space="0" w:shadow="0" w:frame="0"/>
              <w:right w:val="single" w:sz="1" w:space="0" w:shadow="0" w:frame="0"/>
            </w:tcBorders>
          </w:tcPr>
          <w:p>
            <w:pPr>
              <w:pStyle w:val="P1"/>
              <w:framePr w:w="0" w:h="0" w:hRule="auto" w:vSpace="0" w:hSpace="0" w:wrap="auto" w:vAnchor="margin" w:hAnchor="text" w:x="0" w:xAlign="left" w:y="0" w:yAlign="inline"/>
              <w:widowControl w:val="1"/>
              <w:jc w:val="center"/>
              <w:rPr>
                <w:rStyle w:val="C3"/>
                <w:rFonts w:ascii="仿宋_GB2312" w:hAnsi="仿宋_GB2312"/>
                <w:b w:val="1"/>
                <w:color w:val="000000"/>
                <w:sz w:val="24"/>
              </w:rPr>
            </w:pPr>
            <w:r>
              <w:rPr>
                <w:rStyle w:val="C3"/>
                <w:rFonts w:ascii="Microsoft YaHei UI" w:hAnsi="Microsoft YaHei UI"/>
                <w:b w:val="1"/>
                <w:color w:val="000000"/>
                <w:sz w:val="24"/>
              </w:rPr>
              <w:t>税目</w:t>
            </w:r>
          </w:p>
        </w:tc>
        <w:tc>
          <w:tcPr>
            <w:tcW w:w="2120" w:type="dxa"/>
            <w:tcBorders>
              <w:top w:val="single" w:sz="1" w:space="0" w:shadow="0" w:frame="0"/>
              <w:left w:val="single" w:sz="1" w:space="0" w:shadow="0" w:frame="0"/>
              <w:bottom w:val="single" w:sz="1" w:space="0" w:shadow="0" w:frame="0"/>
              <w:right w:val="single" w:sz="1" w:space="0" w:shadow="0" w:frame="0"/>
            </w:tcBorders>
          </w:tcPr>
          <w:p>
            <w:pPr>
              <w:pStyle w:val="P1"/>
              <w:framePr w:w="0" w:h="0" w:hRule="auto" w:vSpace="0" w:hSpace="0" w:wrap="auto" w:vAnchor="margin" w:hAnchor="text" w:x="0" w:xAlign="left" w:y="0" w:yAlign="inline"/>
              <w:widowControl w:val="1"/>
              <w:jc w:val="center"/>
              <w:rPr>
                <w:rStyle w:val="C3"/>
                <w:rFonts w:ascii="仿宋_GB2312" w:hAnsi="仿宋_GB2312"/>
                <w:b w:val="1"/>
                <w:color w:val="000000"/>
                <w:sz w:val="24"/>
              </w:rPr>
            </w:pPr>
            <w:r>
              <w:rPr>
                <w:rStyle w:val="C3"/>
                <w:rFonts w:ascii="Microsoft YaHei UI" w:hAnsi="Microsoft YaHei UI"/>
                <w:b w:val="1"/>
                <w:color w:val="000000"/>
                <w:sz w:val="24"/>
              </w:rPr>
              <w:t>征税对象</w:t>
            </w:r>
          </w:p>
        </w:tc>
        <w:tc>
          <w:tcPr>
            <w:tcW w:w="1605" w:type="dxa"/>
            <w:tcBorders>
              <w:top w:val="single" w:sz="1" w:space="0" w:shadow="0" w:frame="0"/>
              <w:left w:val="single" w:sz="1" w:space="0" w:shadow="0" w:frame="0"/>
              <w:bottom w:val="single" w:sz="1" w:space="0" w:shadow="0" w:frame="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b w:val="1"/>
                <w:color w:val="000000"/>
                <w:sz w:val="24"/>
              </w:rPr>
            </w:pPr>
            <w:r>
              <w:rPr>
                <w:rStyle w:val="C3"/>
                <w:rFonts w:ascii="Microsoft YaHei UI" w:hAnsi="Microsoft YaHei UI"/>
                <w:b w:val="1"/>
                <w:color w:val="000000"/>
                <w:sz w:val="24"/>
              </w:rPr>
              <w:t>税率</w:t>
            </w:r>
          </w:p>
        </w:tc>
      </w:tr>
      <w:tr>
        <w:trPr>
          <w:trHeight w:hRule="exact" w:val="397"/>
        </w:trPr>
        <w:tc>
          <w:tcPr>
            <w:tcW w:w="876" w:type="dxa"/>
            <w:tcBorders>
              <w:top w:val="single" w:sz="1" w:space="0" w:shadow="0" w:frame="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1</w:t>
            </w:r>
          </w:p>
        </w:tc>
        <w:tc>
          <w:tcPr>
            <w:tcW w:w="1753" w:type="dxa"/>
            <w:gridSpan w:val="2"/>
            <w:tcBorders>
              <w:top w:val="single" w:sz="1" w:space="0" w:shadow="0" w:frame="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能源矿产</w:t>
            </w:r>
          </w:p>
        </w:tc>
        <w:tc>
          <w:tcPr>
            <w:tcW w:w="2121" w:type="dxa"/>
            <w:tcBorders>
              <w:top w:val="single" w:sz="1" w:space="0" w:shadow="0" w:frame="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煤</w:t>
            </w:r>
          </w:p>
        </w:tc>
        <w:tc>
          <w:tcPr>
            <w:tcW w:w="2120" w:type="dxa"/>
            <w:tcBorders>
              <w:top w:val="single" w:sz="1" w:space="0" w:shadow="0" w:frame="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single" w:sz="1" w:space="0" w:shadow="0" w:frame="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4%</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1753" w:type="dxa"/>
            <w:gridSpan w:val="2"/>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2%</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2</w:t>
            </w:r>
          </w:p>
        </w:tc>
        <w:tc>
          <w:tcPr>
            <w:tcW w:w="1753" w:type="dxa"/>
            <w:gridSpan w:val="2"/>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煤成（层）气</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1%</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1753" w:type="dxa"/>
            <w:gridSpan w:val="2"/>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c>
          <w:tcPr>
            <w:tcW w:w="1753" w:type="dxa"/>
            <w:gridSpan w:val="2"/>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油页岩</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4%</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1753" w:type="dxa"/>
            <w:gridSpan w:val="2"/>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1%</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4</w:t>
            </w:r>
          </w:p>
        </w:tc>
        <w:tc>
          <w:tcPr>
            <w:tcW w:w="1753" w:type="dxa"/>
            <w:gridSpan w:val="2"/>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油砂</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4%</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1753" w:type="dxa"/>
            <w:gridSpan w:val="2"/>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1%</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5</w:t>
            </w:r>
          </w:p>
        </w:tc>
        <w:tc>
          <w:tcPr>
            <w:tcW w:w="1753" w:type="dxa"/>
            <w:gridSpan w:val="2"/>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天然沥青</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4%</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1753" w:type="dxa"/>
            <w:gridSpan w:val="2"/>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1%</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6</w:t>
            </w:r>
          </w:p>
        </w:tc>
        <w:tc>
          <w:tcPr>
            <w:tcW w:w="1753" w:type="dxa"/>
            <w:gridSpan w:val="2"/>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石煤</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4%</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1753" w:type="dxa"/>
            <w:gridSpan w:val="2"/>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1%</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7</w:t>
            </w:r>
          </w:p>
        </w:tc>
        <w:tc>
          <w:tcPr>
            <w:tcW w:w="1753" w:type="dxa"/>
            <w:gridSpan w:val="2"/>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地热</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每立方米</w:t>
            </w:r>
            <w:r>
              <w:rPr>
                <w:rStyle w:val="C3"/>
                <w:rFonts w:ascii="仿宋_GB2312" w:hAnsi="仿宋_GB2312"/>
                <w:color w:val="000000"/>
                <w:sz w:val="24"/>
              </w:rPr>
              <w:t>2</w:t>
            </w:r>
            <w:r>
              <w:rPr>
                <w:rStyle w:val="C3"/>
                <w:rFonts w:ascii="Microsoft YaHei UI" w:hAnsi="Microsoft YaHei UI"/>
                <w:color w:val="000000"/>
                <w:sz w:val="24"/>
              </w:rPr>
              <w:t>元</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1753" w:type="dxa"/>
            <w:gridSpan w:val="2"/>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8</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金属</w:t>
            </w:r>
            <w:r>
              <w:rPr>
                <w:rStyle w:val="C3"/>
                <w:rFonts w:ascii="仿宋_GB2312" w:hAnsi="仿宋_GB2312"/>
                <w:color w:val="000000"/>
                <w:sz w:val="24"/>
              </w:rPr>
              <w:t xml:space="preserve">  </w:t>
            </w:r>
            <w:r>
              <w:rPr>
                <w:rStyle w:val="C3"/>
                <w:rFonts w:ascii="Microsoft YaHei UI" w:hAnsi="Microsoft YaHei UI"/>
                <w:color w:val="000000"/>
                <w:sz w:val="24"/>
              </w:rPr>
              <w:t>矿产</w:t>
            </w: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黑色</w:t>
            </w:r>
            <w:r>
              <w:rPr>
                <w:rStyle w:val="C3"/>
                <w:rFonts w:ascii="仿宋_GB2312" w:hAnsi="仿宋_GB2312"/>
                <w:color w:val="000000"/>
                <w:sz w:val="24"/>
              </w:rPr>
              <w:t xml:space="preserve">  </w:t>
            </w:r>
            <w:r>
              <w:rPr>
                <w:rStyle w:val="C3"/>
                <w:rFonts w:ascii="Microsoft YaHei UI" w:hAnsi="Microsoft YaHei UI"/>
                <w:color w:val="000000"/>
                <w:sz w:val="24"/>
              </w:rPr>
              <w:t>金属</w:t>
            </w: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铁</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8%</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4%</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9</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锰</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9%</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10</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铬</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9%</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11</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钒</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9%</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12</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钛</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9%</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13</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有色</w:t>
            </w:r>
            <w:r>
              <w:rPr>
                <w:rStyle w:val="C3"/>
                <w:rFonts w:ascii="仿宋_GB2312" w:hAnsi="仿宋_GB2312"/>
                <w:color w:val="000000"/>
                <w:sz w:val="24"/>
              </w:rPr>
              <w:t xml:space="preserve">  </w:t>
            </w:r>
            <w:r>
              <w:rPr>
                <w:rStyle w:val="C3"/>
                <w:rFonts w:ascii="Microsoft YaHei UI" w:hAnsi="Microsoft YaHei UI"/>
                <w:color w:val="000000"/>
                <w:sz w:val="24"/>
              </w:rPr>
              <w:t>金属</w:t>
            </w: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铜</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6.5%</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5%</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14</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铅</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10%</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3.5%</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br w:type="page"/>
              <w:t>15</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r>
              <w:rPr>
                <w:rStyle w:val="C3"/>
                <w:rFonts w:ascii="Microsoft YaHei UI" w:hAnsi="Microsoft YaHei UI"/>
                <w:color w:val="000000"/>
                <w:sz w:val="24"/>
              </w:rPr>
              <w:t>金属</w:t>
            </w:r>
            <w:r>
              <w:rPr>
                <w:rStyle w:val="C3"/>
                <w:rFonts w:ascii="仿宋_GB2312" w:hAnsi="仿宋_GB2312"/>
                <w:color w:val="000000"/>
                <w:sz w:val="24"/>
              </w:rPr>
              <w:t xml:space="preserve">  </w:t>
            </w:r>
            <w:r>
              <w:rPr>
                <w:rStyle w:val="C3"/>
                <w:rFonts w:ascii="Microsoft YaHei UI" w:hAnsi="Microsoft YaHei UI"/>
                <w:color w:val="000000"/>
                <w:sz w:val="24"/>
              </w:rPr>
              <w:t>矿产</w:t>
            </w: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r>
              <w:rPr>
                <w:rStyle w:val="C3"/>
                <w:rFonts w:ascii="Microsoft YaHei UI" w:hAnsi="Microsoft YaHei UI"/>
                <w:color w:val="000000"/>
                <w:sz w:val="24"/>
              </w:rPr>
              <w:t>有色</w:t>
            </w:r>
            <w:r>
              <w:rPr>
                <w:rStyle w:val="C3"/>
                <w:rFonts w:ascii="仿宋_GB2312" w:hAnsi="仿宋_GB2312"/>
                <w:color w:val="000000"/>
                <w:sz w:val="24"/>
              </w:rPr>
              <w:t xml:space="preserve">  </w:t>
            </w:r>
            <w:r>
              <w:rPr>
                <w:rStyle w:val="C3"/>
                <w:rFonts w:ascii="Microsoft YaHei UI" w:hAnsi="Microsoft YaHei UI"/>
                <w:color w:val="000000"/>
                <w:sz w:val="24"/>
              </w:rPr>
              <w:t>金属</w:t>
            </w: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锌</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10%</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3.5%</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16</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锡</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10%</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17</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镍</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10%</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18</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锑</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10%</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19</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镁</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10%</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20</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钴</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10%</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21</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铋</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10%</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22</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汞</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10%</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23</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铝土矿</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9%</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24</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金</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6%</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4%</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25</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银</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6%</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26</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铂</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10%</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5%</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27</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钯</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10%</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5%</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28</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钌</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10%</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5%</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29</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锇</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10%</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5%</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30</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铱</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10%</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5%</w:t>
            </w:r>
          </w:p>
        </w:tc>
      </w:tr>
    </w:tbl>
    <w:p>
      <w:pPr>
        <w:pStyle w:val="P1"/>
        <w:widowControl w:val="1"/>
        <w:jc w:val="both"/>
        <w:rPr>
          <w:rStyle w:val="C3"/>
          <w:rFonts w:ascii="仿宋_GB2312" w:hAnsi="仿宋_GB2312"/>
          <w:color w:val="000000"/>
          <w:sz w:val="24"/>
        </w:rPr>
      </w:pPr>
    </w:p>
    <w:tbl>
      <w:tblPr>
        <w:tblStyle w:val="T2"/>
        <w:tblpPr w:leftFromText="180" w:rightFromText="180" w:tblpX="1784" w:tblpY="325" w:horzAnchor="page" w:vertAnchor="text"/>
        <w:tblOverlap w:val="never"/>
        <w:tblBorders>
          <w:top w:val="single" w:sz="4" w:space="0" w:shadow="0" w:frame="0"/>
          <w:left w:val="single" w:sz="4" w:space="0" w:shadow="0" w:frame="0"/>
          <w:bottom w:val="single" w:sz="4" w:space="0" w:shadow="0" w:frame="0"/>
          <w:right w:val="single" w:sz="4" w:space="0" w:shadow="0" w:frame="0"/>
          <w:insideH w:val="single" w:sz="6" w:space="0" w:shadow="0" w:frame="0"/>
          <w:insideV w:val="single" w:sz="6" w:space="0" w:shadow="0" w:frame="0"/>
        </w:tblBorders>
        <w:tblLayout w:type="fixed"/>
        <w:tblCellMar>
          <w:top w:w="15" w:type="dxa"/>
          <w:left w:w="15" w:type="dxa"/>
          <w:bottom w:w="15" w:type="dxa"/>
          <w:right w:w="15" w:type="dxa"/>
        </w:tblCellMar>
      </w:tblPr>
      <w:tblGrid/>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31</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r>
              <w:rPr>
                <w:rStyle w:val="C3"/>
                <w:rFonts w:ascii="Microsoft YaHei UI" w:hAnsi="Microsoft YaHei UI"/>
                <w:color w:val="000000"/>
                <w:sz w:val="24"/>
              </w:rPr>
              <w:t>金属</w:t>
            </w:r>
            <w:r>
              <w:rPr>
                <w:rStyle w:val="C3"/>
                <w:rFonts w:ascii="仿宋_GB2312" w:hAnsi="仿宋_GB2312"/>
                <w:color w:val="000000"/>
                <w:sz w:val="24"/>
              </w:rPr>
              <w:t xml:space="preserve">  </w:t>
            </w:r>
            <w:r>
              <w:rPr>
                <w:rStyle w:val="C3"/>
                <w:rFonts w:ascii="Microsoft YaHei UI" w:hAnsi="Microsoft YaHei UI"/>
                <w:color w:val="000000"/>
                <w:sz w:val="24"/>
              </w:rPr>
              <w:t>矿产</w:t>
            </w: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r>
              <w:rPr>
                <w:rStyle w:val="C3"/>
                <w:rFonts w:ascii="Microsoft YaHei UI" w:hAnsi="Microsoft YaHei UI"/>
                <w:color w:val="000000"/>
                <w:sz w:val="24"/>
              </w:rPr>
              <w:t>有色</w:t>
            </w:r>
            <w:r>
              <w:rPr>
                <w:rStyle w:val="C3"/>
                <w:rFonts w:ascii="仿宋_GB2312" w:hAnsi="仿宋_GB2312"/>
                <w:color w:val="000000"/>
                <w:sz w:val="24"/>
              </w:rPr>
              <w:t xml:space="preserve">  </w:t>
            </w:r>
            <w:r>
              <w:rPr>
                <w:rStyle w:val="C3"/>
                <w:rFonts w:ascii="Microsoft YaHei UI" w:hAnsi="Microsoft YaHei UI"/>
                <w:color w:val="000000"/>
                <w:sz w:val="24"/>
              </w:rPr>
              <w:t>金属</w:t>
            </w: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铑</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10%</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5%</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32</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轻稀土</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7%</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33</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铍</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10%</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34</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锂</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10%</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35</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锆</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10%</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36</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锶</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10%</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37</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铷</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10%</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38</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铯</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10%</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39</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铌</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10%</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40</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钽</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10%</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41</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锗</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10%</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42</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镓</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10%</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43</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铟</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10%</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44</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铊</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10%</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45</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铪</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10%</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46</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铼</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10%</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47</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r>
              <w:rPr>
                <w:rStyle w:val="C3"/>
                <w:rFonts w:ascii="Microsoft YaHei UI" w:hAnsi="Microsoft YaHei UI"/>
                <w:color w:val="000000"/>
                <w:sz w:val="24"/>
              </w:rPr>
              <w:t>金属</w:t>
            </w:r>
            <w:r>
              <w:rPr>
                <w:rStyle w:val="C3"/>
                <w:rFonts w:ascii="仿宋_GB2312" w:hAnsi="仿宋_GB2312"/>
                <w:color w:val="000000"/>
                <w:sz w:val="24"/>
              </w:rPr>
              <w:t xml:space="preserve">  </w:t>
            </w:r>
            <w:r>
              <w:rPr>
                <w:rStyle w:val="C3"/>
                <w:rFonts w:ascii="Microsoft YaHei UI" w:hAnsi="Microsoft YaHei UI"/>
                <w:color w:val="000000"/>
                <w:sz w:val="24"/>
              </w:rPr>
              <w:t>矿产</w:t>
            </w: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r>
              <w:rPr>
                <w:rStyle w:val="C3"/>
                <w:rFonts w:ascii="Microsoft YaHei UI" w:hAnsi="Microsoft YaHei UI"/>
                <w:color w:val="000000"/>
                <w:sz w:val="24"/>
              </w:rPr>
              <w:t>有色</w:t>
            </w:r>
            <w:r>
              <w:rPr>
                <w:rStyle w:val="C3"/>
                <w:rFonts w:ascii="仿宋_GB2312" w:hAnsi="仿宋_GB2312"/>
                <w:color w:val="000000"/>
                <w:sz w:val="24"/>
              </w:rPr>
              <w:t xml:space="preserve">  </w:t>
            </w:r>
            <w:r>
              <w:rPr>
                <w:rStyle w:val="C3"/>
                <w:rFonts w:ascii="Microsoft YaHei UI" w:hAnsi="Microsoft YaHei UI"/>
                <w:color w:val="000000"/>
                <w:sz w:val="24"/>
              </w:rPr>
              <w:t>金属</w:t>
            </w: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镉</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10%</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48</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硒</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10%</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49</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碲</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10%</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50</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非金属矿产</w:t>
            </w: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矿物类</w:t>
            </w: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高岭土</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3.5%</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3.5%</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51</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石灰岩</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6%</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6%</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52</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磷</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4%</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4%</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53</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石墨</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12%</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54</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萤石</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55</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硫铁矿</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56</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自然硫</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57</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天然石英砂</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4%</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4%</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58</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脉石英</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59</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粉石英</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60</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水晶</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61</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工业用金刚石</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62</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冰洲石</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br w:type="page"/>
              <w:t>63</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非金属矿产</w:t>
            </w: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矿物类</w:t>
            </w: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蓝晶石</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64</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硅线石（矽线石）</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65</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长石</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66</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滑石</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67</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刚玉</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68</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菱镁矿</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4%</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4%</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69</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颜料矿物</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70</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天然碱</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71</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芒硝</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72</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钠硝石</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73</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明矾石</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74</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砷</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75</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硼</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76</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碘</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77</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溴</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78</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膨润土</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4%</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4%</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br w:type="page"/>
              <w:t>79</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非金属矿产</w:t>
            </w: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矿物类</w:t>
            </w: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硅藻土</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80</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陶瓷土</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81</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耐火粘土</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82</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铁矾土</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83</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凹凸棒石粘土</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84</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海泡石粘土</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85</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伊利石粘土</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86</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累托石粘土</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87</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叶腊石</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88</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硅灰石</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4%</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4%</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89</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透辉石</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90</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珍珠岩</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5%</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5%</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91</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云母</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92</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沸石</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93</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重晶石</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94</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毒重石</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br w:type="page"/>
              <w:t>95</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r>
              <w:rPr>
                <w:rStyle w:val="C3"/>
                <w:rFonts w:ascii="Microsoft YaHei UI" w:hAnsi="Microsoft YaHei UI"/>
                <w:color w:val="000000"/>
                <w:sz w:val="24"/>
              </w:rPr>
              <w:t>非金属矿产</w:t>
            </w: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r>
              <w:rPr>
                <w:rStyle w:val="C3"/>
                <w:rFonts w:ascii="Microsoft YaHei UI" w:hAnsi="Microsoft YaHei UI"/>
                <w:color w:val="000000"/>
                <w:sz w:val="24"/>
              </w:rPr>
              <w:t>矿物类</w:t>
            </w: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方解石</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9%</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4%</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96</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蛭石</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97</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透闪石</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98</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工业用电气石</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99</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白垩</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100</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石棉</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101</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蓝石棉</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102</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红柱石</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103</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石榴子石</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104</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石膏</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502"/>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105</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其他粘土</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8"/>
              </w:rPr>
            </w:pPr>
            <w:r>
              <w:rPr>
                <w:rStyle w:val="C3"/>
                <w:rFonts w:ascii="Microsoft YaHei UI" w:hAnsi="Microsoft YaHei UI"/>
                <w:color w:val="000000"/>
                <w:sz w:val="22"/>
              </w:rPr>
              <w:t>每立方米</w:t>
            </w:r>
            <w:r>
              <w:rPr>
                <w:rStyle w:val="C3"/>
                <w:rFonts w:ascii="仿宋_GB2312" w:hAnsi="仿宋_GB2312"/>
                <w:color w:val="000000"/>
                <w:sz w:val="22"/>
              </w:rPr>
              <w:t>1.5</w:t>
            </w:r>
            <w:r>
              <w:rPr>
                <w:rStyle w:val="C3"/>
                <w:rFonts w:ascii="Microsoft YaHei UI" w:hAnsi="Microsoft YaHei UI"/>
                <w:color w:val="000000"/>
                <w:sz w:val="22"/>
              </w:rPr>
              <w:t>元</w:t>
            </w:r>
          </w:p>
        </w:tc>
      </w:tr>
      <w:tr>
        <w:trPr>
          <w:trHeight w:hRule="exact" w:val="532"/>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1"/>
              </w:rPr>
            </w:pPr>
            <w:r>
              <w:rPr>
                <w:rStyle w:val="C3"/>
                <w:rFonts w:ascii="Microsoft YaHei UI" w:hAnsi="Microsoft YaHei UI"/>
                <w:color w:val="000000"/>
                <w:sz w:val="21"/>
              </w:rPr>
              <w:t>每立方米</w:t>
            </w:r>
            <w:r>
              <w:rPr>
                <w:rStyle w:val="C3"/>
                <w:rFonts w:ascii="仿宋_GB2312" w:hAnsi="仿宋_GB2312"/>
                <w:color w:val="000000"/>
                <w:sz w:val="21"/>
              </w:rPr>
              <w:t>1.5</w:t>
            </w:r>
            <w:r>
              <w:rPr>
                <w:rStyle w:val="C3"/>
                <w:rFonts w:ascii="Microsoft YaHei UI" w:hAnsi="Microsoft YaHei UI"/>
                <w:color w:val="000000"/>
                <w:sz w:val="21"/>
              </w:rPr>
              <w:t>元</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106</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岩石类</w:t>
            </w: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大理岩</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6%</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6%</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107</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花岗岩</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6%</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6%</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108</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白云岩</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4%</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4%</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109</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石英岩</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110</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砂岩</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br w:type="page"/>
              <w:t>111</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r>
              <w:rPr>
                <w:rStyle w:val="C3"/>
                <w:rFonts w:ascii="Microsoft YaHei UI" w:hAnsi="Microsoft YaHei UI"/>
                <w:color w:val="000000"/>
                <w:sz w:val="24"/>
              </w:rPr>
              <w:t>非金属矿产</w:t>
            </w: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r>
              <w:rPr>
                <w:rStyle w:val="C3"/>
                <w:rFonts w:ascii="Microsoft YaHei UI" w:hAnsi="Microsoft YaHei UI"/>
                <w:color w:val="000000"/>
                <w:sz w:val="24"/>
              </w:rPr>
              <w:t>岩石类</w:t>
            </w: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辉绿岩</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112</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安山岩</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4%</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4%</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113</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闪长岩</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114</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板岩</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115</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玄武岩</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4%</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4%</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116</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片麻岩</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117</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角闪岩</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118</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页岩</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4%</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4%</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119</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浮石</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4%</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4%</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120</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凝灰岩</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4%</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4%</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121</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黑曜岩</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122</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霞石正长岩</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123</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蛇纹岩</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124</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麦饭石</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125</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泥灰岩</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126</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含钾岩石</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br w:type="page"/>
              <w:t>127</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r>
              <w:rPr>
                <w:rStyle w:val="C3"/>
                <w:rFonts w:ascii="Microsoft YaHei UI" w:hAnsi="Microsoft YaHei UI"/>
                <w:color w:val="000000"/>
                <w:sz w:val="24"/>
              </w:rPr>
              <w:t>非金属矿产</w:t>
            </w: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r>
              <w:rPr>
                <w:rStyle w:val="C3"/>
                <w:rFonts w:ascii="Microsoft YaHei UI" w:hAnsi="Microsoft YaHei UI"/>
                <w:color w:val="000000"/>
                <w:sz w:val="24"/>
              </w:rPr>
              <w:t>岩石类</w:t>
            </w: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含钾砂页岩</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128</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天然油石</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129</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橄榄岩</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130</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松脂岩</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131</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粗面岩</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132</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辉长岩</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133</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辉石岩</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134</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正长岩</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135</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火山灰</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136</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火山渣</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137</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泥炭</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138</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砂石</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2"/>
              </w:rPr>
            </w:pPr>
            <w:r>
              <w:rPr>
                <w:rStyle w:val="C3"/>
                <w:rFonts w:ascii="Microsoft YaHei UI" w:hAnsi="Microsoft YaHei UI"/>
                <w:color w:val="000000"/>
                <w:sz w:val="22"/>
              </w:rPr>
              <w:t>每立方米</w:t>
            </w:r>
            <w:r>
              <w:rPr>
                <w:rStyle w:val="C3"/>
                <w:rFonts w:ascii="仿宋_GB2312" w:hAnsi="仿宋_GB2312"/>
                <w:color w:val="000000"/>
                <w:sz w:val="22"/>
              </w:rPr>
              <w:t>1</w:t>
            </w:r>
            <w:r>
              <w:rPr>
                <w:rStyle w:val="C3"/>
                <w:rFonts w:ascii="Microsoft YaHei UI" w:hAnsi="Microsoft YaHei UI"/>
                <w:color w:val="000000"/>
                <w:sz w:val="22"/>
              </w:rPr>
              <w:t>元</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2"/>
              </w:rPr>
            </w:pPr>
            <w:r>
              <w:rPr>
                <w:rStyle w:val="C3"/>
                <w:rFonts w:ascii="Microsoft YaHei UI" w:hAnsi="Microsoft YaHei UI"/>
                <w:color w:val="000000"/>
                <w:sz w:val="22"/>
              </w:rPr>
              <w:t>每立方米</w:t>
            </w:r>
            <w:r>
              <w:rPr>
                <w:rStyle w:val="C3"/>
                <w:rFonts w:ascii="仿宋_GB2312" w:hAnsi="仿宋_GB2312"/>
                <w:color w:val="000000"/>
                <w:sz w:val="22"/>
              </w:rPr>
              <w:t>1</w:t>
            </w:r>
            <w:r>
              <w:rPr>
                <w:rStyle w:val="C3"/>
                <w:rFonts w:ascii="Microsoft YaHei UI" w:hAnsi="Microsoft YaHei UI"/>
                <w:color w:val="000000"/>
                <w:sz w:val="22"/>
              </w:rPr>
              <w:t>元</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139</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宝石类</w:t>
            </w: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宝石</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4%</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4%</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140</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玉石</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4%</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4%</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141</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宝石级金刚石</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4%</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4%</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142</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玛瑙</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4%</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4%</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br w:type="page"/>
              <w:t>143</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r>
              <w:rPr>
                <w:rStyle w:val="C3"/>
                <w:rFonts w:ascii="Microsoft YaHei UI" w:hAnsi="Microsoft YaHei UI"/>
                <w:color w:val="000000"/>
                <w:sz w:val="24"/>
              </w:rPr>
              <w:t>非金属矿产</w:t>
            </w: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r>
              <w:rPr>
                <w:rStyle w:val="C3"/>
                <w:rFonts w:ascii="Microsoft YaHei UI" w:hAnsi="Microsoft YaHei UI"/>
                <w:color w:val="000000"/>
                <w:sz w:val="24"/>
              </w:rPr>
              <w:t>岩石类</w:t>
            </w: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黄玉</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4%</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4%</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144</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碧玺</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4%</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7"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1"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4%</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145</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水气</w:t>
            </w:r>
            <w:r>
              <w:rPr>
                <w:rStyle w:val="C3"/>
                <w:rFonts w:ascii="仿宋_GB2312" w:hAnsi="仿宋_GB2312"/>
                <w:color w:val="000000"/>
                <w:sz w:val="24"/>
              </w:rPr>
              <w:t xml:space="preserve">  </w:t>
            </w:r>
            <w:r>
              <w:rPr>
                <w:rStyle w:val="C3"/>
                <w:rFonts w:ascii="Microsoft YaHei UI" w:hAnsi="Microsoft YaHei UI"/>
                <w:color w:val="000000"/>
                <w:sz w:val="24"/>
              </w:rPr>
              <w:t>矿产</w:t>
            </w:r>
          </w:p>
        </w:tc>
        <w:tc>
          <w:tcPr>
            <w:tcW w:w="2998" w:type="dxa"/>
            <w:gridSpan w:val="2"/>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二氧化碳气</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998" w:type="dxa"/>
            <w:gridSpan w:val="2"/>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146</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998" w:type="dxa"/>
            <w:gridSpan w:val="2"/>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硫化氢气</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998" w:type="dxa"/>
            <w:gridSpan w:val="2"/>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147</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998" w:type="dxa"/>
            <w:gridSpan w:val="2"/>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氦气</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998" w:type="dxa"/>
            <w:gridSpan w:val="2"/>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148</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998" w:type="dxa"/>
            <w:gridSpan w:val="2"/>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氡气</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998" w:type="dxa"/>
            <w:gridSpan w:val="2"/>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149</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998" w:type="dxa"/>
            <w:gridSpan w:val="2"/>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矿泉水</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4%</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998" w:type="dxa"/>
            <w:gridSpan w:val="2"/>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150</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盐</w:t>
            </w:r>
          </w:p>
        </w:tc>
        <w:tc>
          <w:tcPr>
            <w:tcW w:w="2998" w:type="dxa"/>
            <w:gridSpan w:val="2"/>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钠盐</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998" w:type="dxa"/>
            <w:gridSpan w:val="2"/>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151</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998" w:type="dxa"/>
            <w:gridSpan w:val="2"/>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钾盐</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998" w:type="dxa"/>
            <w:gridSpan w:val="2"/>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152</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998" w:type="dxa"/>
            <w:gridSpan w:val="2"/>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镁盐</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998" w:type="dxa"/>
            <w:gridSpan w:val="2"/>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153</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998" w:type="dxa"/>
            <w:gridSpan w:val="2"/>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锂盐</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998" w:type="dxa"/>
            <w:gridSpan w:val="2"/>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154</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998" w:type="dxa"/>
            <w:gridSpan w:val="2"/>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天然卤水</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原矿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998" w:type="dxa"/>
            <w:gridSpan w:val="2"/>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选矿</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w:t>
            </w:r>
          </w:p>
        </w:tc>
      </w:tr>
      <w:tr>
        <w:trPr>
          <w:trHeight w:hRule="exact" w:val="397"/>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155</w:t>
            </w: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998" w:type="dxa"/>
            <w:gridSpan w:val="2"/>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Microsoft YaHei UI" w:hAnsi="Microsoft YaHei UI"/>
                <w:color w:val="000000"/>
                <w:sz w:val="24"/>
              </w:rPr>
              <w:t>海盐</w:t>
            </w: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w:t>
            </w: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widowControl w:val="1"/>
              <w:jc w:val="center"/>
              <w:rPr>
                <w:rStyle w:val="C3"/>
                <w:rFonts w:ascii="仿宋_GB2312" w:hAnsi="仿宋_GB2312"/>
                <w:color w:val="000000"/>
                <w:sz w:val="24"/>
              </w:rPr>
            </w:pPr>
            <w:r>
              <w:rPr>
                <w:rStyle w:val="C3"/>
                <w:rFonts w:ascii="仿宋_GB2312" w:hAnsi="仿宋_GB2312"/>
                <w:color w:val="000000"/>
                <w:sz w:val="24"/>
              </w:rPr>
              <w:t>3%</w:t>
            </w:r>
          </w:p>
        </w:tc>
      </w:tr>
      <w:tr>
        <w:trPr>
          <w:trHeight w:hRule="exact" w:val="312"/>
        </w:trPr>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876"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998" w:type="dxa"/>
            <w:gridSpan w:val="2"/>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2120"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c>
          <w:tcPr>
            <w:tcW w:w="1605" w:type="dxa"/>
            <w:tcBorders>
              <w:top w:val="nil" w:sz="0" w:space="0" w:shadow="0" w:frame="0" w:color="000000"/>
              <w:left w:val="nil" w:sz="0" w:space="0" w:shadow="0" w:frame="0" w:color="000000"/>
              <w:bottom w:val="nil" w:sz="0" w:space="0" w:shadow="0" w:frame="0" w:color="000000"/>
              <w:right w:val="nil" w:sz="0" w:space="0" w:shadow="0" w:frame="0" w:color="000000"/>
            </w:tcBorders>
          </w:tcPr>
          <w:p>
            <w:pPr>
              <w:pStyle w:val="P1"/>
              <w:framePr w:w="0" w:h="0" w:hRule="auto" w:vSpace="0" w:hSpace="0" w:wrap="auto" w:vAnchor="margin" w:hAnchor="text" w:x="0" w:xAlign="left" w:y="0" w:yAlign="inline"/>
              <w:jc w:val="center"/>
              <w:rPr>
                <w:rStyle w:val="C3"/>
                <w:rFonts w:ascii="仿宋_GB2312" w:hAnsi="仿宋_GB2312"/>
                <w:color w:val="000000"/>
                <w:sz w:val="24"/>
              </w:rPr>
            </w:pPr>
          </w:p>
        </w:tc>
      </w:tr>
    </w:tbl>
    <w:p>
      <w:pPr>
        <w:pStyle w:val="P1"/>
        <w:rPr>
          <w:rStyle w:val="C3"/>
        </w:rPr>
      </w:pPr>
    </w:p>
    <w:sectPr>
      <w:footerReference xmlns:r="http://schemas.openxmlformats.org/officeDocument/2006/relationships" w:type="default" r:id="RelFtr1"/>
      <w:type w:val="nextPage"/>
      <w:pgSz w:w="11906" w:h="16838" w:code="0"/>
      <w:pgMar w:left="1474" w:right="1361" w:top="1701" w:bottom="1588" w:header="851" w:footer="992"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jc w:val="center"/>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8"/>
    <w:qFormat/>
    <w:pPr>
      <w:widowControl w:val="0"/>
      <w:jc w:val="both"/>
    </w:pPr>
    <w:rPr>
      <w:rFonts w:ascii="Calibri" w:hAnsi="Calibri"/>
      <w:sz w:val="32"/>
    </w:rPr>
  </w:style>
  <w:style w:type="paragraph" w:styleId="P2">
    <w:name w:val="正文 New"/>
    <w:next w:val="P2"/>
    <w:qFormat/>
    <w:pPr>
      <w:widowControl w:val="0"/>
      <w:jc w:val="both"/>
    </w:pPr>
    <w:rPr>
      <w:rFonts w:ascii="Calibri" w:hAnsi="Calibri"/>
      <w:sz w:val="21"/>
    </w:rPr>
  </w:style>
  <w:style w:type="paragraph" w:styleId="P3">
    <w:name w:val="正文 New New New New New New New New New New New New New New New New New New New New New New New New New New New New New New New New New New New New"/>
    <w:next w:val="P3"/>
    <w:qFormat/>
    <w:pPr>
      <w:widowControl w:val="0"/>
      <w:jc w:val="both"/>
    </w:pPr>
    <w:rPr>
      <w:sz w:val="21"/>
    </w:rPr>
  </w:style>
  <w:style w:type="paragraph" w:styleId="P4">
    <w:name w:val="无间隔1"/>
    <w:next w:val="P4"/>
    <w:qFormat/>
    <w:pPr>
      <w:widowControl w:val="0"/>
      <w:jc w:val="both"/>
    </w:pPr>
    <w:rPr>
      <w:rFonts w:ascii="Calibri" w:hAnsi="Calibri"/>
      <w:sz w:val="21"/>
    </w:rPr>
  </w:style>
  <w:style w:type="paragraph" w:styleId="P5">
    <w:name w:val="标题 1"/>
    <w:basedOn w:val="P1"/>
    <w:next w:val="P1"/>
    <w:qFormat/>
    <w:pPr>
      <w:spacing w:before="100" w:after="100" w:beforeAutospacing="1" w:afterAutospacing="1"/>
      <w:jc w:val="left"/>
      <w:outlineLvl w:val="0"/>
    </w:pPr>
    <w:rPr>
      <w:rFonts w:ascii="宋体" w:hAnsi="宋体"/>
      <w:b w:val="1"/>
      <w:sz w:val="48"/>
    </w:rPr>
  </w:style>
  <w:style w:type="paragraph" w:styleId="P6">
    <w:name w:val="纯文本"/>
    <w:basedOn w:val="P1"/>
    <w:next w:val="P6"/>
    <w:link w:val="C7"/>
    <w:qFormat/>
    <w:pPr/>
    <w:rPr>
      <w:rFonts w:ascii="宋体" w:hAnsi="宋体"/>
    </w:rPr>
  </w:style>
  <w:style w:type="paragraph" w:styleId="P7">
    <w:name w:val="普通(网站)"/>
    <w:basedOn w:val="P1"/>
    <w:next w:val="P7"/>
    <w:qFormat/>
    <w:pPr>
      <w:spacing w:beforeAutospacing="1" w:afterAutospacing="1"/>
      <w:jc w:val="left"/>
    </w:pPr>
    <w:rPr>
      <w:sz w:val="24"/>
    </w:rPr>
  </w:style>
  <w:style w:type="paragraph" w:styleId="P8">
    <w:name w:val="引文目录"/>
    <w:basedOn w:val="P1"/>
    <w:next w:val="P1"/>
    <w:qFormat/>
    <w:pPr>
      <w:ind w:left="420"/>
    </w:pPr>
    <w:rPr/>
  </w:style>
  <w:style w:type="paragraph" w:styleId="P9">
    <w:name w:val="批注框文本"/>
    <w:basedOn w:val="P1"/>
    <w:next w:val="P9"/>
    <w:link w:val="C4"/>
    <w:pPr/>
    <w:rPr>
      <w:sz w:val="18"/>
    </w:rPr>
  </w:style>
  <w:style w:type="paragraph" w:styleId="P10">
    <w:name w:val="页眉"/>
    <w:basedOn w:val="P1"/>
    <w:next w:val="P10"/>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11">
    <w:name w:val="页脚"/>
    <w:basedOn w:val="P1"/>
    <w:next w:val="P11"/>
    <w:link w:val="C5"/>
    <w:pPr>
      <w:tabs>
        <w:tab w:val="center" w:pos="4153" w:leader="none"/>
        <w:tab w:val="right" w:pos="8306" w:leader="none"/>
      </w:tabs>
      <w:jc w:val="left"/>
    </w:pPr>
    <w:rPr>
      <w:sz w:val="18"/>
    </w:rPr>
  </w:style>
  <w:style w:type="paragraph" w:styleId="P12">
    <w:name w:val="批注文字"/>
    <w:basedOn w:val="P1"/>
    <w:next w:val="P12"/>
    <w:pPr>
      <w:jc w:val="left"/>
    </w:pPr>
    <w:rPr/>
  </w:style>
  <w:style w:type="paragraph" w:styleId="P13">
    <w:name w:val="p0"/>
    <w:basedOn w:val="P1"/>
    <w:next w:val="P13"/>
    <w:pPr>
      <w:widowControl w:val="1"/>
    </w:pPr>
    <w:rPr>
      <w:rFonts w:ascii="Times New Roman" w:hAnsi="Times New Roman"/>
      <w:sz w:val="21"/>
    </w:rPr>
  </w:style>
  <w:style w:type="paragraph" w:styleId="P14">
    <w:name w:val="列出段落"/>
    <w:basedOn w:val="P1"/>
    <w:next w:val="P14"/>
    <w:qFormat/>
    <w:pPr>
      <w:ind w:firstLine="420"/>
    </w:pPr>
    <w:rPr>
      <w:rFonts w:ascii="Times New Roman" w:hAnsi="Times New Roman"/>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批注框文本 Char"/>
    <w:link w:val="P9"/>
    <w:rPr>
      <w:sz w:val="18"/>
    </w:rPr>
  </w:style>
  <w:style w:type="character" w:styleId="C5">
    <w:name w:val="页脚 Char"/>
    <w:link w:val="P11"/>
    <w:rPr>
      <w:sz w:val="18"/>
    </w:rPr>
  </w:style>
  <w:style w:type="character" w:styleId="C6">
    <w:name w:val="Font Style22"/>
    <w:qFormat/>
    <w:rPr>
      <w:rFonts w:ascii="黑体" w:hAnsi="黑体"/>
      <w:sz w:val="28"/>
    </w:rPr>
  </w:style>
  <w:style w:type="character" w:styleId="C7">
    <w:name w:val="纯文本 Char"/>
    <w:basedOn w:val="C3"/>
    <w:link w:val="P6"/>
    <w:rPr>
      <w:rFonts w:ascii="宋体" w:hAnsi="宋体"/>
    </w:rPr>
  </w:style>
  <w:style w:type="character" w:styleId="C8">
    <w:name w:val="纯文本 Char1"/>
    <w:basedOn w:val="C3"/>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2019-12-06T12:28:00Z</dcterms:created>
  <cp:lastModifiedBy>f1TZOF\f1TZOF-</cp:lastModifiedBy>
  <cp:lastPrinted>2020-08-21T01:30:00Z</cp:lastPrinted>
  <dcterms:modified xsi:type="dcterms:W3CDTF">2024-08-28T01:35:46Z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2052-10.8.0.6423</vt:lpwstr>
  </property>
</Properties>
</file>