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939026" Type="http://schemas.openxmlformats.org/officeDocument/2006/relationships/officeDocument" Target="/word/document.xml" /><Relationship Id="coreR8939026" Type="http://schemas.openxmlformats.org/package/2006/relationships/metadata/core-properties" Target="/docProps/core.xml" /><Relationship Id="customR89390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6" w:before="0" w:after="0"/>
        <w:jc w:val="center"/>
        <w:rPr>
          <w:rStyle w:val="C3"/>
          <w:rFonts w:ascii="宋体" w:hAnsi="宋体"/>
          <w:b w:val="0"/>
          <w:sz w:val="44"/>
        </w:rPr>
      </w:pPr>
      <w:r>
        <w:rPr>
          <w:rStyle w:val="C3"/>
          <w:rFonts w:ascii="宋体" w:hAnsi="宋体"/>
          <w:b w:val="0"/>
          <w:sz w:val="44"/>
        </w:rPr>
        <w:t>辽宁省实施《中华人民共和国献血法》办法</w:t>
      </w:r>
    </w:p>
    <w:p>
      <w:pPr>
        <w:pStyle w:val="P1"/>
        <w:keepNext w:val="0"/>
        <w:keepLines w:val="0"/>
        <w:widowControl w:val="0"/>
        <w:spacing w:lineRule="exact" w:line="578" w:before="0" w:after="0"/>
        <w:jc w:val="center"/>
        <w:rPr>
          <w:rStyle w:val="C3"/>
          <w:rFonts w:ascii="宋体" w:hAnsi="宋体"/>
          <w:b w:val="1"/>
          <w:color w:val="auto"/>
          <w:sz w:val="32"/>
        </w:rPr>
      </w:pPr>
    </w:p>
    <w:p>
      <w:pPr>
        <w:pStyle w:val="P1"/>
        <w:keepNext w:val="0"/>
        <w:keepLines w:val="0"/>
        <w:widowControl w:val="0"/>
        <w:spacing w:lineRule="exact" w:line="578" w:before="0" w:after="0"/>
        <w:ind w:firstLine="0" w:left="200" w:right="200"/>
        <w:jc w:val="left"/>
        <w:rPr>
          <w:rStyle w:val="C3"/>
          <w:rFonts w:ascii="楷体" w:hAnsi="楷体"/>
          <w:color w:val="auto"/>
          <w:sz w:val="32"/>
        </w:rPr>
      </w:pPr>
      <w:r>
        <w:rPr>
          <w:rStyle w:val="C3"/>
          <w:rFonts w:ascii="楷体" w:hAnsi="楷体"/>
          <w:color w:val="auto"/>
          <w:sz w:val="32"/>
        </w:rPr>
        <w:t xml:space="preserve">（2000年11月28日辽宁省第九届人民代表大会常务委员会第十九次会议通过  根据2015年9月25日辽宁省第十二届人民代表大会常务委员会第二十一次会议《关于修改部分地方性法规的决定》第一次修正  根据2021年5月27日辽宁省第十三届人民代表大会常务委员会第二十六次会议《关于修改〈辽宁省社会组织管理条例〉等6件地方性法规的决定》第二次修正）</w:t>
      </w:r>
    </w:p>
    <w:p>
      <w:pPr>
        <w:pStyle w:val="P1"/>
        <w:keepNext w:val="0"/>
        <w:keepLines w:val="0"/>
        <w:widowControl w:val="0"/>
        <w:spacing w:lineRule="exact" w:line="578" w:before="0" w:after="0"/>
        <w:ind w:firstLine="632"/>
        <w:rPr>
          <w:rStyle w:val="C3"/>
          <w:rFonts w:ascii="仿宋" w:hAnsi="仿宋"/>
          <w:color w:val="auto"/>
          <w:sz w:val="32"/>
        </w:rPr>
      </w:pP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为保证医疗临床用血需要和安全，保障献血者和用血者身体健康，根据《中华人民共和国献血法》，结合本省实际情况，制定本办法。</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第二条</w:t>
      </w:r>
      <w:r>
        <w:rPr>
          <w:rStyle w:val="C3"/>
          <w:rFonts w:ascii="楷体" w:hAnsi="楷体"/>
          <w:color w:val="auto"/>
          <w:sz w:val="32"/>
        </w:rPr>
        <w:t xml:space="preserve"> </w:t>
      </w:r>
      <w:r>
        <w:rPr>
          <w:rStyle w:val="C3"/>
          <w:rFonts w:ascii="仿宋" w:hAnsi="仿宋"/>
          <w:color w:val="auto"/>
          <w:sz w:val="32"/>
        </w:rPr>
        <w:t xml:space="preserve"> 在本省行政区域内的单位和个人进行献血和用血、采血、供血适用本办法。</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依法实行无偿献血制度，提倡18周岁至55周岁的健康公民自愿献血。</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单位和个人应当积极参与无偿献血活动。</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鼓励国家工作人员、现役军人和高等学校在校学生率先献血。</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省、市、县（含县级市、区，下同）卫生行政部门负责监督管理本行政区域内的献血工作。</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市、县人民政府在卫生行政部门设立无偿献血办事机构，负责本行政区域内的献血日常工作。</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各级人民政府应当广泛宣传献血的意义，普及献血的科学知识，开展预防和控制经血液途径传播的疾病的教育。</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新闻媒介应当开展献血的社会公益性宣传。学校应当进行血液科学知识的教育。</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实行年度献血计划管理。国家机关、社会团体、部队和企业事业组织（以下统称单位）以及居民委员会和村民委员会，应当根据献血计划，动员和组织本单位或者本居住区的适龄健康公民参加献血，保证年度献血计划的完成。</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年度献血计划由无偿献血办事机构编制，报本级人民政府审批后下达。</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第八条 </w:t>
      </w:r>
      <w:r>
        <w:rPr>
          <w:rStyle w:val="C3"/>
          <w:rFonts w:ascii="仿宋" w:hAnsi="仿宋"/>
          <w:color w:val="auto"/>
          <w:sz w:val="32"/>
        </w:rPr>
        <w:t xml:space="preserve"> 完成年度献血计划的单位，由卫生行政部门发给（完成年度献血计划证书）。</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连续两年超额完成献血计划的，由本级人民政府和红十字会给予表彰。</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公民无偿献血，由无偿献血办事机构发给国务院卫生行政部门统一制作的《无偿献血证书》，有关单位可以给予适当补贴。</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禁止冒用、借用、租用他人献血证件。</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 xml:space="preserve"> 献血者享受下列待遇：</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（一）自献血之日起5年内无偿使用血液，5年后无偿使用献血量等量的血液；</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（二）累计献血800毫升以上的，由市人民政府和红十字会给予奖励，并终生无偿使用血液。</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献血者的配偶和直系亲属，自献血之日起3个月后5年内无偿使用献血量等量的血液，如超出其献血用血，只收取用于血液采集、储存、分离、检验等费用。</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 xml:space="preserve"> 公民献血，由依法成立并取得《采供血许可证》的血站（含血液中心、中心血站、基层血站或者中心血库，下同）进行采集。</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血站在采集血液前，必须对献血者免费进行必要的健康检查。对不符合国家规定的健康检查标准的人员，不得采集其血液。</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血站采集血液，必须严格遵守有关技术规范和制度。采血人员必须经过专业技术培训。采血使用的器材必须是符合国家规定的一次性用品，且用后必须按规定处理。采集的血液必须进行复检，其包装、储存、运输必须符合国家规定。</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医疗机构的临床用血，必须到卫生行政部门指定的血站领取。</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有下列情形之一的，可以由省卫生行政部门指定的医疗机构临时采集血液：</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（一）因不可抗力致使血站血液供应不足；</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仿宋" w:hAnsi="仿宋"/>
          <w:color w:val="auto"/>
          <w:sz w:val="32"/>
        </w:rPr>
        <w:t>（二）交通不便地区的医疗机构急需用血。</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省卫生行政部门可以根据各市临床用血情况，对血站的血液进行调剂。</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冒用、借用、租用他人献血证件的，由卫生行政部门视情节轻重，予以警告，每例处以100元至1000元的罚款。</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血站违反有关操作规程和制度采集血液，由卫生行政部门责令改正；给献血者健康造成损害的，应当依法赔偿，对直接负责的主管人员和其他直接责任人员，依法给予行政处分；构成犯罪的，依法追究刑事责任。</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第十九条 </w:t>
      </w:r>
      <w:r>
        <w:rPr>
          <w:rStyle w:val="C3"/>
          <w:rFonts w:ascii="仿宋" w:hAnsi="仿宋"/>
          <w:color w:val="auto"/>
          <w:sz w:val="32"/>
        </w:rPr>
        <w:t xml:space="preserve"> 血站违反规定，向医疗机构提供不符合国家规定标准的血液的，由卫生行政部门责令改正；情节严重，造成经血液途径传播的疾病传播或者有传播严重危险的，限期整顿，对直接负责的主管人员和其他直接责任人员，依法给予行政处分；构成犯罪的，依法追究刑事责任。</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第二十条 </w:t>
      </w:r>
      <w:r>
        <w:rPr>
          <w:rStyle w:val="C3"/>
          <w:rFonts w:ascii="仿宋" w:hAnsi="仿宋"/>
          <w:color w:val="auto"/>
          <w:sz w:val="32"/>
        </w:rPr>
        <w:t xml:space="preserve"> 医疗机构的医务人员违反规定，将不符合国家规定标准的血液用于患者的，由卫生行政部门责令改正；给患者健康造成损害的，对直接负责的主管人员和其他直接责任人员，依法给予行政处分；构成犯罪的，依法追究刑事责任。</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卫生行政部门和无偿献血办事机构的工作人员在监督、管理工作中玩忽职守，造成严重后果，尚不构成犯罪的，依法给予行政处分；构成犯罪的，依法追究刑事责任。</w:t>
      </w:r>
    </w:p>
    <w:p>
      <w:pPr>
        <w:pStyle w:val="P1"/>
        <w:keepNext w:val="0"/>
        <w:keepLines w:val="0"/>
        <w:widowControl w:val="0"/>
        <w:spacing w:lineRule="exact" w:line="578" w:before="0" w:after="0"/>
        <w:ind w:firstLine="632"/>
        <w:rPr>
          <w:rStyle w:val="C3"/>
          <w:rFonts w:ascii="仿宋" w:hAnsi="仿宋"/>
          <w:color w:val="auto"/>
          <w:sz w:val="32"/>
        </w:rPr>
      </w:pPr>
      <w:r>
        <w:rPr>
          <w:rStyle w:val="C3"/>
          <w:rFonts w:ascii="黑体" w:hAnsi="黑体"/>
          <w:color w:val="auto"/>
          <w:sz w:val="32"/>
        </w:rPr>
        <w:t xml:space="preserve">第二十二条 </w:t>
      </w:r>
      <w:r>
        <w:rPr>
          <w:rStyle w:val="C3"/>
          <w:rFonts w:ascii="仿宋" w:hAnsi="仿宋"/>
          <w:color w:val="auto"/>
          <w:sz w:val="32"/>
        </w:rPr>
        <w:t xml:space="preserve"> 本办法自2001年1月1日起施行。</w:t>
      </w:r>
    </w:p>
    <w:p>
      <w:pPr>
        <w:pStyle w:val="P1"/>
        <w:keepNext w:val="0"/>
        <w:keepLines w:val="0"/>
        <w:widowControl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0"/>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Normal New New New New"/>
    <w:next w:val="P3"/>
    <w:pPr>
      <w:widowControl w:val="0"/>
      <w:jc w:val="both"/>
    </w:pPr>
    <w:rPr>
      <w:rFonts w:ascii="Calibri" w:hAnsi="Calibri"/>
      <w:sz w:val="21"/>
    </w:rPr>
  </w:style>
  <w:style w:type="paragraph" w:styleId="P4">
    <w:name w:val="正文 New New"/>
    <w:next w:val="P4"/>
    <w:pPr>
      <w:widowControl w:val="0"/>
      <w:jc w:val="both"/>
    </w:pPr>
    <w:rPr>
      <w:rFonts w:ascii="Calibri" w:hAnsi="Calibri"/>
      <w:sz w:val="32"/>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正文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w:next w:val="P11"/>
    <w:pPr>
      <w:widowControl w:val="0"/>
      <w:jc w:val="both"/>
    </w:pPr>
    <w:rPr>
      <w:rFonts w:ascii="Times New Roman" w:hAnsi="Times New Roman"/>
      <w:sz w:val="21"/>
    </w:rPr>
  </w:style>
  <w:style w:type="paragraph" w:styleId="P12">
    <w:name w:val="正文 New New New New New New New New New New New New New New New New New New New New"/>
    <w:next w:val="P12"/>
    <w:pPr>
      <w:widowControl w:val="0"/>
      <w:jc w:val="both"/>
    </w:pPr>
    <w:rPr>
      <w:rFonts w:ascii="Times New Roman" w:hAnsi="Times New Roman"/>
      <w:sz w:val="21"/>
    </w:rPr>
  </w:style>
  <w:style w:type="paragraph" w:styleId="P13">
    <w:name w:val="正文 New New New New New New"/>
    <w:next w:val="P13"/>
    <w:pPr>
      <w:widowControl w:val="0"/>
      <w:jc w:val="both"/>
    </w:pPr>
    <w:rPr>
      <w:rFonts w:ascii="Times New Roman" w:hAnsi="Times New Roman"/>
      <w:sz w:val="32"/>
    </w:rPr>
  </w:style>
  <w:style w:type="paragraph" w:styleId="P14">
    <w:name w:val="正文 New New New New New New New"/>
    <w:next w:val="P14"/>
    <w:pPr>
      <w:widowControl w:val="0"/>
      <w:jc w:val="both"/>
    </w:pPr>
    <w:rPr>
      <w:rFonts w:ascii="Calibri" w:hAnsi="Calibri"/>
      <w:sz w:val="21"/>
    </w:rPr>
  </w:style>
  <w:style w:type="paragraph" w:styleId="P15">
    <w:name w:val="正文 New New New New New New New New New New New New New New New New New New New New New"/>
    <w:next w:val="P15"/>
    <w:pPr>
      <w:widowControl w:val="0"/>
      <w:jc w:val="both"/>
    </w:pPr>
    <w:rPr>
      <w:rFonts w:ascii="Times New Roman" w:hAnsi="Times New Roman"/>
      <w:sz w:val="21"/>
    </w:rPr>
  </w:style>
  <w:style w:type="paragraph" w:styleId="P16">
    <w:name w:val="正文 New New New New New New New New New"/>
    <w:next w:val="P16"/>
    <w:pPr>
      <w:widowControl w:val="0"/>
      <w:jc w:val="both"/>
    </w:pPr>
    <w:rPr>
      <w:rFonts w:ascii="Calibri" w:hAnsi="Calibri"/>
      <w:sz w:val="21"/>
    </w:rPr>
  </w:style>
  <w:style w:type="paragraph" w:styleId="P17">
    <w:name w:val="标题 1"/>
    <w:basedOn w:val="P1"/>
    <w:next w:val="P1"/>
    <w:pPr>
      <w:keepNext w:val="1"/>
      <w:keepLines w:val="1"/>
      <w:spacing w:lineRule="exact" w:line="560"/>
      <w:ind w:firstLine="0"/>
      <w:jc w:val="center"/>
      <w:outlineLvl w:val="0"/>
    </w:pPr>
    <w:rPr>
      <w:rFonts w:ascii="Calibri" w:hAnsi="Calibri"/>
      <w:sz w:val="32"/>
    </w:rPr>
  </w:style>
  <w:style w:type="paragraph" w:styleId="P18">
    <w:name w:val="页眉"/>
    <w:basedOn w:val="P1"/>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9">
    <w:name w:val="目录 1"/>
    <w:basedOn w:val="P1"/>
    <w:next w:val="P1"/>
    <w:pPr>
      <w:spacing w:lineRule="exact" w:line="560"/>
      <w:ind w:left="630" w:right="630"/>
    </w:pPr>
    <w:rPr>
      <w:sz w:val="32"/>
    </w:rPr>
  </w:style>
  <w:style w:type="paragraph" w:styleId="P20">
    <w:name w:val="页脚"/>
    <w:basedOn w:val="P1"/>
    <w:next w:val="P20"/>
    <w:pPr>
      <w:tabs>
        <w:tab w:val="center" w:pos="4153" w:leader="none"/>
        <w:tab w:val="right" w:pos="8306" w:leader="none"/>
      </w:tabs>
      <w:jc w:val="left"/>
    </w:pPr>
    <w:rPr>
      <w:sz w:val="18"/>
    </w:rPr>
  </w:style>
  <w:style w:type="paragraph" w:styleId="P21">
    <w:name w:val="Char1"/>
    <w:basedOn w:val="P1"/>
    <w:next w:val="P21"/>
    <w:link w:val="C3"/>
    <w:pPr/>
    <w:rPr/>
  </w:style>
  <w:style w:type="paragraph" w:styleId="P22">
    <w:name w:val="Normal (Web)"/>
    <w:basedOn w:val="P1"/>
    <w:next w:val="P22"/>
    <w:pPr>
      <w:widowControl w:val="1"/>
      <w:spacing w:before="100" w:after="100" w:beforeAutospacing="1" w:afterAutospacing="1"/>
      <w:jc w:val="left"/>
    </w:pPr>
    <w:rPr>
      <w:rFonts w:ascii="宋体" w:hAnsi="宋体"/>
      <w:sz w:val="24"/>
    </w:rPr>
  </w:style>
  <w:style w:type="paragraph" w:styleId="P2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4"/>
    <w:next w:val="P2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24">
    <w:name w:val="普通(网站) New"/>
    <w:basedOn w:val="P10"/>
    <w:next w:val="P24"/>
    <w:pPr>
      <w:widowControl w:val="1"/>
      <w:spacing w:before="100" w:after="100" w:beforeAutospacing="1" w:afterAutospacing="1"/>
      <w:jc w:val="left"/>
    </w:pPr>
    <w:rPr>
      <w:rFonts w:ascii="宋体" w:hAnsi="宋体"/>
      <w:sz w:val="24"/>
    </w:rPr>
  </w:style>
  <w:style w:type="paragraph" w:styleId="P25">
    <w:name w:val="普通(网站) New New"/>
    <w:basedOn w:val="P14"/>
    <w:next w:val="P25"/>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6">
    <w:name w:val="List Paragraph"/>
    <w:basedOn w:val="P23"/>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2024-08-28T01:35:46Z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