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8A7751" Type="http://schemas.openxmlformats.org/officeDocument/2006/relationships/officeDocument" Target="/word/document.xml" /><Relationship Id="coreR378A7751" Type="http://schemas.openxmlformats.org/package/2006/relationships/metadata/core-properties" Target="/docProps/core.xml" /><Relationship Id="customR378A775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太原市农业资源综合管理条例</w:t>
      </w:r>
    </w:p>
    <w:p>
      <w:pPr>
        <w:pStyle w:val="P1"/>
        <w:spacing w:lineRule="exact" w:line="578"/>
        <w:ind w:firstLine="880"/>
        <w:rPr>
          <w:rStyle w:val="C3"/>
          <w:rFonts w:ascii="宋体" w:hAnsi="宋体"/>
          <w:sz w:val="44"/>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日太原市第十一届人民代表大会常务委员会第七次会议通过　</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日山西省第十届人民代表大会常务委员会第三次会议批准）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为了加强农业资源综合管理与保护，提高农业资源开发利用整体效益，实现农业可持续发展，根据《中华人民共和国农业法》和有关法律、法规的规定，结合本市实际，制定本条例。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凡在本市行政区域内从事与农业资源开发、利用、保护和管理以及相关活动的单位和个人，必须遵守本条例。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本条例所称农业资源，是指与种植业、林业、畜牧业、渔业生产相关的土地、水、气候、生物等自然资源。</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农业资源综合管理与保护，坚持因地适宜、统筹规划，开发与保护并重的原则。在城市规划区内，农业资源开发利用规划应符合城市总体规划要求。</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市、县（市、区）人民政府应当将农业资源开发利用与保护纳入国民经济和社会发展计划。</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市农业行政主管部门负责全市农业资源综合管理与保护工作。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县（市、区）农业行政主管部门负责本行政区域内农业资源综合管理与保护工作。</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市、县（市、区）人民政府的规划、林业、土地、水利、环保、气象等行政主管部门（以下称农业资源专业管理部门）依照有关法律、法规及本条例的规定，负责农业资源的专业管理与保护工作。</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农业行政主管部门在农业资源综合管理工作中应当履行下列职责：</w:t>
      </w:r>
    </w:p>
    <w:p>
      <w:pPr>
        <w:pStyle w:val="P1"/>
        <w:spacing w:lineRule="exact" w:line="578"/>
        <w:ind w:firstLine="640"/>
        <w:rPr>
          <w:rStyle w:val="C3"/>
          <w:rFonts w:ascii="仿宋_GB2312" w:hAnsi="仿宋_GB2312"/>
          <w:sz w:val="32"/>
        </w:rPr>
      </w:pPr>
      <w:r>
        <w:rPr>
          <w:rStyle w:val="C3"/>
          <w:rFonts w:ascii="Microsoft YaHei UI" w:hAnsi="Microsoft YaHei UI"/>
          <w:sz w:val="32"/>
        </w:rPr>
        <w:t>（一）协调、监督、检查农业综合规划、区域规划和专业规划的实施；</w:t>
      </w:r>
    </w:p>
    <w:p>
      <w:pPr>
        <w:pStyle w:val="P1"/>
        <w:spacing w:lineRule="exact" w:line="578"/>
        <w:ind w:firstLine="640"/>
        <w:rPr>
          <w:rStyle w:val="C3"/>
          <w:rFonts w:ascii="仿宋_GB2312" w:hAnsi="仿宋_GB2312"/>
          <w:sz w:val="32"/>
        </w:rPr>
      </w:pPr>
      <w:r>
        <w:rPr>
          <w:rStyle w:val="C3"/>
          <w:rFonts w:ascii="Microsoft YaHei UI" w:hAnsi="Microsoft YaHei UI"/>
          <w:sz w:val="32"/>
        </w:rPr>
        <w:t>（二）监督、检查重大开发项目、可持续发展影响评价内容的实施情况，并进行后期评估；</w:t>
      </w:r>
    </w:p>
    <w:p>
      <w:pPr>
        <w:pStyle w:val="P1"/>
        <w:spacing w:lineRule="exact" w:line="578"/>
        <w:ind w:firstLine="640"/>
        <w:rPr>
          <w:rStyle w:val="C3"/>
          <w:rFonts w:ascii="仿宋_GB2312" w:hAnsi="仿宋_GB2312"/>
          <w:sz w:val="32"/>
        </w:rPr>
      </w:pPr>
      <w:r>
        <w:rPr>
          <w:rStyle w:val="C3"/>
          <w:rFonts w:ascii="Microsoft YaHei UI" w:hAnsi="Microsoft YaHei UI"/>
          <w:sz w:val="32"/>
        </w:rPr>
        <w:t>（三）协调在农业资源开发利用和保护管理方面的争议，并向人民政府提出处理意见。</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任何单位和个人都有保护农业资源的义务，对侵占或者破坏农业资源的行为有权报告和检举。</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市、县（市、区）人民政府鼓励农业资源开发、利用与保护，对在农业资源综合管理、开发、利用、保护和科研等方面做出显著成绩的单位和个人进行表彰、奖励。</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市、县（市、区）人民政府应当对农业资源进行定期调查。调查分为普查、区域调查和专项调查。</w:t>
      </w:r>
    </w:p>
    <w:p>
      <w:pPr>
        <w:pStyle w:val="P1"/>
        <w:spacing w:lineRule="exact" w:line="578"/>
        <w:ind w:firstLine="640"/>
        <w:rPr>
          <w:rStyle w:val="C3"/>
          <w:rFonts w:ascii="仿宋_GB2312" w:hAnsi="仿宋_GB2312"/>
          <w:sz w:val="32"/>
        </w:rPr>
      </w:pPr>
      <w:r>
        <w:rPr>
          <w:rStyle w:val="C3"/>
          <w:rFonts w:ascii="Microsoft YaHei UI" w:hAnsi="Microsoft YaHei UI"/>
          <w:sz w:val="32"/>
        </w:rPr>
        <w:t>普查由农业行政主管部门根据国家有关规定，组织有关部门实施。普查结果由市人民政府发布公告。</w:t>
      </w:r>
    </w:p>
    <w:p>
      <w:pPr>
        <w:pStyle w:val="P1"/>
        <w:spacing w:lineRule="exact" w:line="578"/>
        <w:ind w:firstLine="640"/>
        <w:rPr>
          <w:rStyle w:val="C3"/>
          <w:rFonts w:ascii="仿宋_GB2312" w:hAnsi="仿宋_GB2312"/>
          <w:sz w:val="32"/>
        </w:rPr>
      </w:pPr>
      <w:r>
        <w:rPr>
          <w:rStyle w:val="C3"/>
          <w:rFonts w:ascii="Microsoft YaHei UI" w:hAnsi="Microsoft YaHei UI"/>
          <w:sz w:val="32"/>
        </w:rPr>
        <w:t>区域调查由县（市、区）农业行政主管部门组织有关部门实施。一般每五年进行一次。</w:t>
      </w:r>
    </w:p>
    <w:p>
      <w:pPr>
        <w:pStyle w:val="P1"/>
        <w:spacing w:lineRule="exact" w:line="578"/>
        <w:ind w:firstLine="640"/>
        <w:rPr>
          <w:rStyle w:val="C3"/>
          <w:rFonts w:ascii="仿宋_GB2312" w:hAnsi="仿宋_GB2312"/>
          <w:sz w:val="32"/>
        </w:rPr>
      </w:pPr>
      <w:r>
        <w:rPr>
          <w:rStyle w:val="C3"/>
          <w:rFonts w:ascii="Microsoft YaHei UI" w:hAnsi="Microsoft YaHei UI"/>
          <w:sz w:val="32"/>
        </w:rPr>
        <w:t>专项调查由农业资源专业管理部门组织有关部门实施，一般每五年进行一次。</w:t>
      </w:r>
    </w:p>
    <w:p>
      <w:pPr>
        <w:pStyle w:val="P1"/>
        <w:spacing w:lineRule="exact" w:line="578"/>
        <w:ind w:firstLine="640"/>
        <w:rPr>
          <w:rStyle w:val="C3"/>
          <w:rFonts w:ascii="仿宋_GB2312" w:hAnsi="仿宋_GB2312"/>
          <w:sz w:val="32"/>
        </w:rPr>
      </w:pPr>
      <w:r>
        <w:rPr>
          <w:rStyle w:val="C3"/>
          <w:rFonts w:ascii="Microsoft YaHei UI" w:hAnsi="Microsoft YaHei UI"/>
          <w:sz w:val="32"/>
        </w:rPr>
        <w:t>区域调查和专项调查结果应报市农业行政主管部门备案。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被调查单位应当如实提供农业资源数据以及有关资料；不得隐瞒、漏报、拒报。</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市、县（市、区）人民政府应当制定农业资源开发利用规划。规划分为综合规划、区域规划和专业规划，每五年编制一次。</w:t>
      </w:r>
    </w:p>
    <w:p>
      <w:pPr>
        <w:pStyle w:val="P1"/>
        <w:spacing w:lineRule="exact" w:line="578"/>
        <w:ind w:firstLine="640"/>
        <w:rPr>
          <w:rStyle w:val="C3"/>
          <w:rFonts w:ascii="仿宋_GB2312" w:hAnsi="仿宋_GB2312"/>
          <w:sz w:val="32"/>
        </w:rPr>
      </w:pPr>
      <w:r>
        <w:rPr>
          <w:rStyle w:val="C3"/>
          <w:rFonts w:ascii="Microsoft YaHei UI" w:hAnsi="Microsoft YaHei UI"/>
          <w:sz w:val="32"/>
        </w:rPr>
        <w:t>综合规划由市农业行政主管部门负责编制；区域规划由县（市、区）农业行政主管部门负责编制，并报市农业行政主管部门备案；专业规划由农业资源专业管理部门负责编制，经同级农业行政主管部门审核后，报同级人民政府批准。</w:t>
      </w:r>
    </w:p>
    <w:p>
      <w:pPr>
        <w:pStyle w:val="P1"/>
        <w:spacing w:lineRule="exact" w:line="578"/>
        <w:ind w:firstLine="640"/>
        <w:rPr>
          <w:rStyle w:val="C3"/>
          <w:rFonts w:ascii="仿宋_GB2312" w:hAnsi="仿宋_GB2312"/>
          <w:sz w:val="32"/>
        </w:rPr>
      </w:pPr>
      <w:r>
        <w:rPr>
          <w:rStyle w:val="C3"/>
          <w:rFonts w:ascii="Microsoft YaHei UI" w:hAnsi="Microsoft YaHei UI"/>
          <w:sz w:val="32"/>
        </w:rPr>
        <w:t>区域规划、专业规划均应当符合综合规划。</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农业资源开发利用规划应当根据农业资源变化情况、农业产业结构调整以及农业和农村经济发展需要，适时进行必要的修订。</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农业资源开发利用应当符合农业资源开发利用规划的要求，坚持经济效益、社会效益、生态效益相统一的原则，合理确定农业资源开发、利用方向和途径，保证农业资源高效、持续利用。</w:t>
      </w:r>
    </w:p>
    <w:p>
      <w:pPr>
        <w:pStyle w:val="P1"/>
        <w:spacing w:lineRule="exact" w:line="578"/>
        <w:ind w:firstLine="640"/>
        <w:rPr>
          <w:rStyle w:val="C3"/>
          <w:rFonts w:ascii="仿宋_GB2312" w:hAnsi="仿宋_GB2312"/>
          <w:sz w:val="32"/>
        </w:rPr>
      </w:pPr>
      <w:r>
        <w:rPr>
          <w:rStyle w:val="C3"/>
          <w:rFonts w:ascii="Microsoft YaHei UI" w:hAnsi="Microsoft YaHei UI"/>
          <w:sz w:val="32"/>
        </w:rPr>
        <w:t>禁止对农业资源进行过度或者掠夺式开发。</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市、县（市、区）人民政府应当鼓励和扶持发展资源节约型农业，推广采用提高农业资源利用效率的技术和方法，促进农业资源的综合利用。</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市、县（市、区）人民政府应当鼓励合理开发利用荒山、荒沟、荒坡、盐碱地、水域、滩涂等农业后备资源。</w:t>
      </w:r>
    </w:p>
    <w:p>
      <w:pPr>
        <w:pStyle w:val="P1"/>
        <w:spacing w:lineRule="exact" w:line="578"/>
        <w:ind w:firstLine="640"/>
        <w:rPr>
          <w:rStyle w:val="C3"/>
          <w:rFonts w:ascii="仿宋_GB2312" w:hAnsi="仿宋_GB2312"/>
          <w:sz w:val="32"/>
        </w:rPr>
      </w:pPr>
      <w:r>
        <w:rPr>
          <w:rStyle w:val="C3"/>
          <w:rFonts w:ascii="Microsoft YaHei UI" w:hAnsi="Microsoft YaHei UI"/>
          <w:sz w:val="32"/>
        </w:rPr>
        <w:t>农业后备资源的开发、利用，应当依照有关法律、法规的规定，按照可持续发展和因地制宜的原则进行。</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市、县（市、区）人民政府应当将农业资源开发利用规划作为制定农村产业政策、农村发展计划和调整农业产业结构的重要依据。</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市、县（市、区）人民政府应当建立农业资源可持续发展评估制度。</w:t>
      </w:r>
    </w:p>
    <w:p>
      <w:pPr>
        <w:pStyle w:val="P1"/>
        <w:spacing w:lineRule="exact" w:line="578"/>
        <w:ind w:firstLine="640"/>
        <w:rPr>
          <w:rStyle w:val="C3"/>
          <w:rFonts w:ascii="仿宋_GB2312" w:hAnsi="仿宋_GB2312"/>
          <w:sz w:val="32"/>
        </w:rPr>
      </w:pPr>
      <w:r>
        <w:rPr>
          <w:rStyle w:val="C3"/>
          <w:rFonts w:ascii="Microsoft YaHei UI" w:hAnsi="Microsoft YaHei UI"/>
          <w:sz w:val="32"/>
        </w:rPr>
        <w:t>对农业资源可能产生重大影响的开发项目的可行性研究报告应当包括可持续发展影响评价内容。</w:t>
      </w:r>
    </w:p>
    <w:p>
      <w:pPr>
        <w:pStyle w:val="P1"/>
        <w:spacing w:lineRule="exact" w:line="578"/>
        <w:ind w:firstLine="640"/>
        <w:rPr>
          <w:rStyle w:val="C3"/>
          <w:rFonts w:ascii="仿宋_GB2312" w:hAnsi="仿宋_GB2312"/>
          <w:sz w:val="32"/>
        </w:rPr>
      </w:pPr>
      <w:r>
        <w:rPr>
          <w:rStyle w:val="C3"/>
          <w:rFonts w:ascii="Microsoft YaHei UI" w:hAnsi="Microsoft YaHei UI"/>
          <w:sz w:val="32"/>
        </w:rPr>
        <w:t>对农业资源可能产生重大影响的跨县（市、区）行政区域的开发项目，市农业行政主管部门应当组织有关部门对可持续发展影响评价内容进行综合评审。</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市、县（市、区）人民政府应当每年对农业资源进行质量评价。</w:t>
      </w:r>
    </w:p>
    <w:p>
      <w:pPr>
        <w:pStyle w:val="P1"/>
        <w:spacing w:lineRule="exact" w:line="578"/>
        <w:ind w:firstLine="640"/>
        <w:rPr>
          <w:rStyle w:val="C3"/>
          <w:rFonts w:ascii="仿宋_GB2312" w:hAnsi="仿宋_GB2312"/>
          <w:sz w:val="32"/>
        </w:rPr>
      </w:pPr>
      <w:r>
        <w:rPr>
          <w:rStyle w:val="C3"/>
          <w:rFonts w:ascii="Microsoft YaHei UI" w:hAnsi="Microsoft YaHei UI"/>
          <w:sz w:val="32"/>
        </w:rPr>
        <w:t>农业资源质量评价包括农业资源总体质量评价、农业资源单项质量评价。</w:t>
      </w:r>
    </w:p>
    <w:p>
      <w:pPr>
        <w:pStyle w:val="P1"/>
        <w:spacing w:lineRule="exact" w:line="578"/>
        <w:ind w:firstLine="640"/>
        <w:rPr>
          <w:rStyle w:val="C3"/>
          <w:rFonts w:ascii="仿宋_GB2312" w:hAnsi="仿宋_GB2312"/>
          <w:sz w:val="32"/>
        </w:rPr>
      </w:pPr>
      <w:r>
        <w:rPr>
          <w:rStyle w:val="C3"/>
          <w:rFonts w:ascii="Microsoft YaHei UI" w:hAnsi="Microsoft YaHei UI"/>
          <w:sz w:val="32"/>
        </w:rPr>
        <w:t>农业资源总体质量评价应以农业资源整体质量状况为重点，由农业行政主管部门组织实施；农业资源单项质量评价应以农业资源单项质量状况为评价重点，由农业资源专业部门组织实施。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县（市、区）农业资源总体评价报告应当报市农业行政主管部门备案。</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市、县（市、区）人民政府应当每年对农业资源进行动态监测。</w:t>
      </w:r>
    </w:p>
    <w:p>
      <w:pPr>
        <w:pStyle w:val="P1"/>
        <w:spacing w:lineRule="exact" w:line="578"/>
        <w:ind w:firstLine="640"/>
        <w:rPr>
          <w:rStyle w:val="C3"/>
          <w:rFonts w:ascii="仿宋_GB2312" w:hAnsi="仿宋_GB2312"/>
          <w:sz w:val="32"/>
        </w:rPr>
      </w:pPr>
      <w:r>
        <w:rPr>
          <w:rStyle w:val="C3"/>
          <w:rFonts w:ascii="Microsoft YaHei UI" w:hAnsi="Microsoft YaHei UI"/>
          <w:sz w:val="32"/>
        </w:rPr>
        <w:t>农业资源动态监测分为农业资源动态总体监测和农业资源动态单项监测。</w:t>
      </w:r>
    </w:p>
    <w:p>
      <w:pPr>
        <w:pStyle w:val="P1"/>
        <w:spacing w:lineRule="exact" w:line="578"/>
        <w:ind w:firstLine="640"/>
        <w:rPr>
          <w:rStyle w:val="C3"/>
          <w:rFonts w:ascii="仿宋_GB2312" w:hAnsi="仿宋_GB2312"/>
          <w:sz w:val="32"/>
        </w:rPr>
      </w:pPr>
      <w:r>
        <w:rPr>
          <w:rStyle w:val="C3"/>
          <w:rFonts w:ascii="Microsoft YaHei UI" w:hAnsi="Microsoft YaHei UI"/>
          <w:sz w:val="32"/>
        </w:rPr>
        <w:t>农业资源动态总体监测应当以农业资源整体数量、质量的消长变化情况为监测重点，由农业行政主管部门组织实施；农业资源动态单项监测应以各种农业资源数量、质量的消长变化情况为监测重点，由农业资源专业管理部门组织实施。</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县（市、区）农业资源动态总体监测数据和有关资料，报市农业行政主管部门备案。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农业资源动态单项监测数据和有关资料报同级农业行政主管部门备案。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同一资源不同部门的数据出现不一致时，由农业行政主管部门组织有关农业资源专业管理部门进行协调、订正。</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农业行政主管部门和农业资源专业管理部门应当将农业资源数据、资料整理归档并妥善保存。</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市、县（市、区）人民政府应当定期组织农业行政主管部门、专业管理部门对本行政区域内农业资源综合规划实施情况进行检查。</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农业资源管理部门的工作人员滥用职权、玩忽职守、徇私舞弊的，由其所在单位或上级主管机关依法给予行政处分；构成犯罪的，由司法机关追究刑事责任。</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眉 Char"/>
    <w:basedOn w:val="C3"/>
    <w:link w:val="P5"/>
    <w:rPr>
      <w:rFonts w:ascii="Calibri" w:hAnsi="Calibri"/>
      <w:sz w:val="18"/>
    </w:rPr>
  </w:style>
  <w:style w:type="character" w:styleId="C6">
    <w:name w:val="标题 2 Char"/>
    <w:basedOn w:val="C3"/>
    <w:link w:val="P3"/>
    <w:rPr>
      <w:rFonts w:ascii="宋体" w:hAnsi="宋体"/>
      <w:b w:val="1"/>
      <w:sz w:val="36"/>
    </w:rPr>
  </w:style>
  <w:style w:type="character" w:styleId="C7">
    <w:name w:val="页脚 Char"/>
    <w:basedOn w:val="C3"/>
    <w:link w:val="P6"/>
    <w:rPr>
      <w:rFonts w:ascii="Calibri" w:hAnsi="Calibri"/>
      <w:sz w:val="18"/>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2024-08-28T01:35:48Z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