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8FD510" Type="http://schemas.openxmlformats.org/officeDocument/2006/relationships/officeDocument" Target="/word/document.xml" /><Relationship Id="coreR168FD51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内蒙古自治区城市房地产开发经营管理条例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日内蒙古自治区第九届人民代表大会常务委员会第二十一次会议通过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日内蒙古自治区第十一届人民代表大会常务委员会第十三次会议《关于修改部分地方性法规的决定（一）》修正）</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房地产开发企业</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房地产开发建设</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房地产经营</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为了规范房地产开发经营行为，加强对城市房地产开发经营活动的监督管理，促进房地产业的健康发展，根据《中华人民共和国城市房地产管理法》及国家有关法律、法规，结合自治区实际，制定本条例。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在自治区城市规划区内国有土地上从事房地产开发经营，对房地产开发经营活动实施监督管理，应当遵守本条例。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自治区人民政府建设行政管理部门负责自治区房地产开发经营活动的监督管理工作。旗县级以上人民政府房地产开发行政管理部门负责本行政区域内房地产开发经营活动的监督管理工作。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旗县级以上人民政府土地行政管理部门依照有关法律、行政法规的规定，负责与房地产开发经营有关的土地管理工作。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房地产开发必须严格执行城市规划，按照经济效益、社会效益、环境效益相统一的原则，实行全面规划、合理布局、综合开发、配套建设。</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房地产开发企业</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设立房地产开发企业，除应当符合有关法律、行政法规规定的企业设立条件外，还应当具备下列条件：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（一）有</w:t>
      </w:r>
      <w:r>
        <w:rPr>
          <w:rStyle w:val="C3"/>
          <w:rFonts w:ascii="仿宋_GB2312" w:hAnsi="仿宋_GB2312"/>
          <w:sz w:val="32"/>
        </w:rPr>
        <w:t>100</w:t>
      </w:r>
      <w:r>
        <w:rPr>
          <w:rStyle w:val="C3"/>
          <w:rFonts w:ascii="Microsoft YaHei UI" w:hAnsi="Microsoft YaHei UI"/>
          <w:sz w:val="32"/>
        </w:rPr>
        <w:t>万元以上的注册资本；</w:t>
      </w:r>
    </w:p>
    <w:p>
      <w:pPr>
        <w:pStyle w:val="P1"/>
        <w:spacing w:lineRule="exact" w:line="580"/>
        <w:ind w:firstLine="640"/>
        <w:rPr>
          <w:rStyle w:val="C3"/>
          <w:rFonts w:ascii="仿宋_GB2312" w:hAnsi="仿宋_GB2312"/>
          <w:sz w:val="32"/>
        </w:rPr>
      </w:pPr>
      <w:r>
        <w:rPr>
          <w:rStyle w:val="C3"/>
          <w:rFonts w:ascii="Microsoft YaHei UI" w:hAnsi="Microsoft YaHei UI"/>
          <w:sz w:val="32"/>
        </w:rPr>
        <w:t>（二）有</w:t>
      </w:r>
      <w:r>
        <w:rPr>
          <w:rStyle w:val="C3"/>
          <w:rFonts w:ascii="仿宋_GB2312" w:hAnsi="仿宋_GB2312"/>
          <w:sz w:val="32"/>
        </w:rPr>
        <w:t>4</w:t>
      </w:r>
      <w:r>
        <w:rPr>
          <w:rStyle w:val="C3"/>
          <w:rFonts w:ascii="Microsoft YaHei UI" w:hAnsi="Microsoft YaHei UI"/>
          <w:sz w:val="32"/>
        </w:rPr>
        <w:t>名以上持有资格证书的房地产专业、建筑工程专业的专职技术人员，</w:t>
      </w:r>
      <w:r>
        <w:rPr>
          <w:rStyle w:val="C3"/>
          <w:rFonts w:ascii="仿宋_GB2312" w:hAnsi="仿宋_GB2312"/>
          <w:sz w:val="32"/>
        </w:rPr>
        <w:t>2</w:t>
      </w:r>
      <w:r>
        <w:rPr>
          <w:rStyle w:val="C3"/>
          <w:rFonts w:ascii="Microsoft YaHei UI" w:hAnsi="Microsoft YaHei UI"/>
          <w:sz w:val="32"/>
        </w:rPr>
        <w:t>名以上持有资格证书的专职会计人员。</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房地产开发企业领取营业执照后，持营业执照副本和有关材料到企业所在地房地产开发行政管理部门备案。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房地产开发行政管理部门应当按照国家有关规定和简政便民的原则，及时向符合条件的企业核发《暂定资质证书》。</w:t>
      </w:r>
    </w:p>
    <w:p>
      <w:pPr>
        <w:pStyle w:val="P1"/>
        <w:spacing w:lineRule="exact" w:line="580"/>
        <w:ind w:firstLine="640"/>
        <w:rPr>
          <w:rStyle w:val="C3"/>
          <w:rFonts w:ascii="仿宋_GB2312" w:hAnsi="仿宋_GB2312"/>
          <w:sz w:val="32"/>
        </w:rPr>
      </w:pPr>
      <w:r>
        <w:rPr>
          <w:rStyle w:val="C3"/>
          <w:rFonts w:ascii="Microsoft YaHei UI" w:hAnsi="Microsoft YaHei UI"/>
          <w:sz w:val="32"/>
        </w:rPr>
        <w:t>《暂定资质证书》有效期为一年，开发项目未完成的可以延长有效期，但延长期限不得超过二年。</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企业应当在《暂定资质证书》有效期满前三十日内向房地产开发行政管理部门提出核定资质等级申请，经盟行政公署、设区的市人民政府房地产开发行政管理部门初审后，由自治区人民政府建设行政管理部门核定相应的资质等级。</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房地产开发企业按照企业条件分为四个资质等级。各资质等级企业的条件应当符合国家房地产开发企业资质管理的有关规定。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核定房地产开发企业资质等级和办理升级的审批权限按照国家和自治区有关规定办理。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房地产开发企业应当按照资质等级承担相应规模的房地产开发建设项目，不能越级承担任务。</w:t>
      </w:r>
    </w:p>
    <w:p>
      <w:pPr>
        <w:pStyle w:val="P1"/>
        <w:spacing w:lineRule="exact" w:line="580"/>
        <w:ind w:firstLine="640"/>
        <w:rPr>
          <w:rStyle w:val="C3"/>
          <w:rFonts w:ascii="仿宋_GB2312" w:hAnsi="仿宋_GB2312"/>
          <w:sz w:val="32"/>
        </w:rPr>
      </w:pPr>
      <w:r>
        <w:rPr>
          <w:rStyle w:val="C3"/>
          <w:rFonts w:ascii="Microsoft YaHei UI" w:hAnsi="Microsoft YaHei UI"/>
          <w:sz w:val="32"/>
        </w:rPr>
        <w:t>（一）一级资质：开发建设项目规模不受限制；</w:t>
      </w:r>
    </w:p>
    <w:p>
      <w:pPr>
        <w:pStyle w:val="P1"/>
        <w:spacing w:lineRule="exact" w:line="580"/>
        <w:ind w:firstLine="640"/>
        <w:rPr>
          <w:rStyle w:val="C3"/>
          <w:rFonts w:ascii="仿宋_GB2312" w:hAnsi="仿宋_GB2312"/>
          <w:sz w:val="32"/>
        </w:rPr>
      </w:pPr>
      <w:r>
        <w:rPr>
          <w:rStyle w:val="C3"/>
          <w:rFonts w:ascii="Microsoft YaHei UI" w:hAnsi="Microsoft YaHei UI"/>
          <w:sz w:val="32"/>
        </w:rPr>
        <w:t>（二）二级资质：可以开发建筑面积在</w:t>
      </w:r>
      <w:r>
        <w:rPr>
          <w:rStyle w:val="C3"/>
          <w:rFonts w:ascii="仿宋_GB2312" w:hAnsi="仿宋_GB2312"/>
          <w:sz w:val="32"/>
        </w:rPr>
        <w:t>25</w:t>
      </w:r>
      <w:r>
        <w:rPr>
          <w:rStyle w:val="C3"/>
          <w:rFonts w:ascii="Microsoft YaHei UI" w:hAnsi="Microsoft YaHei UI"/>
          <w:sz w:val="32"/>
        </w:rPr>
        <w:t>万平方米以下的建设项目；</w:t>
      </w:r>
    </w:p>
    <w:p>
      <w:pPr>
        <w:pStyle w:val="P1"/>
        <w:spacing w:lineRule="exact" w:line="580"/>
        <w:ind w:firstLine="640"/>
        <w:rPr>
          <w:rStyle w:val="C3"/>
          <w:rFonts w:ascii="仿宋_GB2312" w:hAnsi="仿宋_GB2312"/>
          <w:sz w:val="32"/>
        </w:rPr>
      </w:pPr>
      <w:r>
        <w:rPr>
          <w:rStyle w:val="C3"/>
          <w:rFonts w:ascii="Microsoft YaHei UI" w:hAnsi="Microsoft YaHei UI"/>
          <w:sz w:val="32"/>
        </w:rPr>
        <w:t>（三）三级资质</w:t>
      </w:r>
      <w:r>
        <w:rPr>
          <w:rStyle w:val="C3"/>
          <w:rFonts w:ascii="仿宋_GB2312" w:hAnsi="仿宋_GB2312"/>
          <w:sz w:val="32"/>
        </w:rPr>
        <w:t>:</w:t>
      </w:r>
      <w:r>
        <w:rPr>
          <w:rStyle w:val="C3"/>
          <w:rFonts w:ascii="Microsoft YaHei UI" w:hAnsi="Microsoft YaHei UI"/>
          <w:sz w:val="32"/>
        </w:rPr>
        <w:t>可以开发建筑面积在</w:t>
      </w:r>
      <w:r>
        <w:rPr>
          <w:rStyle w:val="C3"/>
          <w:rFonts w:ascii="仿宋_GB2312" w:hAnsi="仿宋_GB2312"/>
          <w:sz w:val="32"/>
        </w:rPr>
        <w:t>10</w:t>
      </w:r>
      <w:r>
        <w:rPr>
          <w:rStyle w:val="C3"/>
          <w:rFonts w:ascii="Microsoft YaHei UI" w:hAnsi="Microsoft YaHei UI"/>
          <w:sz w:val="32"/>
        </w:rPr>
        <w:t>万平方米以下的建设项目；</w:t>
      </w:r>
    </w:p>
    <w:p>
      <w:pPr>
        <w:pStyle w:val="P1"/>
        <w:spacing w:lineRule="exact" w:line="580"/>
        <w:ind w:firstLine="640"/>
        <w:rPr>
          <w:rStyle w:val="C3"/>
          <w:rFonts w:ascii="仿宋_GB2312" w:hAnsi="仿宋_GB2312"/>
          <w:sz w:val="32"/>
        </w:rPr>
      </w:pPr>
      <w:r>
        <w:rPr>
          <w:rStyle w:val="C3"/>
          <w:rFonts w:ascii="Microsoft YaHei UI" w:hAnsi="Microsoft YaHei UI"/>
          <w:sz w:val="32"/>
        </w:rPr>
        <w:t>（四）四级资质和暂定资质</w:t>
      </w:r>
      <w:r>
        <w:rPr>
          <w:rStyle w:val="C3"/>
          <w:rFonts w:ascii="仿宋_GB2312" w:hAnsi="仿宋_GB2312"/>
          <w:sz w:val="32"/>
        </w:rPr>
        <w:t>:</w:t>
      </w:r>
      <w:r>
        <w:rPr>
          <w:rStyle w:val="C3"/>
          <w:rFonts w:ascii="Microsoft YaHei UI" w:hAnsi="Microsoft YaHei UI"/>
          <w:sz w:val="32"/>
        </w:rPr>
        <w:t>可以在本盟市内开发建筑面积在</w:t>
      </w:r>
      <w:r>
        <w:rPr>
          <w:rStyle w:val="C3"/>
          <w:rFonts w:ascii="仿宋_GB2312" w:hAnsi="仿宋_GB2312"/>
          <w:sz w:val="32"/>
        </w:rPr>
        <w:t>3</w:t>
      </w:r>
      <w:r>
        <w:rPr>
          <w:rStyle w:val="C3"/>
          <w:rFonts w:ascii="Microsoft YaHei UI" w:hAnsi="Microsoft YaHei UI"/>
          <w:sz w:val="32"/>
        </w:rPr>
        <w:t>万平方米以下的建设项目。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房地产开发企业资质实行年检制度。具体年检办法按照国家和自治区有关规定办理。</w:t>
      </w:r>
    </w:p>
    <w:p>
      <w:pPr>
        <w:pStyle w:val="P1"/>
        <w:spacing w:lineRule="exact" w:line="580"/>
        <w:ind w:firstLine="640"/>
        <w:rPr>
          <w:rStyle w:val="C3"/>
          <w:rFonts w:ascii="仿宋_GB2312" w:hAnsi="仿宋_GB2312"/>
          <w:sz w:val="32"/>
        </w:rPr>
      </w:pPr>
      <w:r>
        <w:rPr>
          <w:rStyle w:val="C3"/>
          <w:rFonts w:ascii="Microsoft YaHei UI" w:hAnsi="Microsoft YaHei UI"/>
          <w:sz w:val="32"/>
        </w:rPr>
        <w:t>房地产开发企业资质年检不合格的，不得承担新的开发项目，并限期整改；整改仍不合格的，由原资质审批部门注销其资质证书。</w:t>
      </w:r>
    </w:p>
    <w:p>
      <w:pPr>
        <w:pStyle w:val="P1"/>
        <w:spacing w:lineRule="exact" w:line="580"/>
        <w:ind w:firstLine="640"/>
        <w:rPr>
          <w:rStyle w:val="C3"/>
          <w:rFonts w:ascii="仿宋_GB2312" w:hAnsi="仿宋_GB2312"/>
          <w:sz w:val="32"/>
        </w:rPr>
      </w:pPr>
      <w:r>
        <w:rPr>
          <w:rStyle w:val="C3"/>
          <w:rFonts w:ascii="Microsoft YaHei UI" w:hAnsi="Microsoft YaHei UI"/>
          <w:sz w:val="32"/>
        </w:rPr>
        <w:t>房地产开发企业无正当理由不参加资质年检或者提供虚假年检材料的，由原资质审批部门注销其资质证书。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自治区外一、二级资质房地产开发企业可以在自治区内从事房地产开发经营。</w:t>
      </w:r>
    </w:p>
    <w:p>
      <w:pPr>
        <w:pStyle w:val="P1"/>
        <w:spacing w:lineRule="exact" w:line="580"/>
        <w:ind w:firstLine="640"/>
        <w:rPr>
          <w:rStyle w:val="C3"/>
          <w:rFonts w:ascii="仿宋_GB2312" w:hAnsi="仿宋_GB2312"/>
          <w:sz w:val="32"/>
        </w:rPr>
      </w:pPr>
      <w:r>
        <w:rPr>
          <w:rStyle w:val="C3"/>
          <w:rFonts w:ascii="Microsoft YaHei UI" w:hAnsi="Microsoft YaHei UI"/>
          <w:sz w:val="32"/>
        </w:rPr>
        <w:t>符合前款规定的房地产开发企业在自治区内从事房地产开发经营的，必须到项目所在地房地产开发行政管理部门登记，由项目所在地房地产开发行政管理部门向自治区人民政府建设行政管理部门备案后方可进行房地产开发经营，并接受项目所在地房地产开发行政管理部门的监督管理。</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房地产开发建设</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旗县级以上人民政府房地产开发行政管理部门应当会同同级计划、规划、城建、土地等有关行政管理部门，编制当地的房地产开发建设年度计划，报同级人民政府批准。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确定房地产开发项目，应当符合土地利用总体规划、年度建设用地计划和城市规划、房地产开发年度计划的要求；按照国家有关规定需要经计划行政管理部门批准的，还应当报计划行政管理部门批准，并纳入年度固定资产投资计划。</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确定房地产开发项目，应当坚持旧区改造和新区建设相结合的原则，注重开发基础设施薄弱、交通拥挤、环境污染严重以及危旧房集中的区域，保护和改善城市生态环境，保护历史文化遗产。</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房地产开发用地应当以出让方式取得。但是，法律和国务院规定可以采用划拨方式的除外。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土地使用权出让或者划拨前，旗县级以上人民政府城市规划行政管理部门和房地产开发行政管理部门应当对下列事项提出书面意见，作为土地使用权出让或者划拨的依据之一：</w:t>
      </w:r>
    </w:p>
    <w:p>
      <w:pPr>
        <w:pStyle w:val="P1"/>
        <w:spacing w:lineRule="exact" w:line="580"/>
        <w:ind w:firstLine="640"/>
        <w:rPr>
          <w:rStyle w:val="C3"/>
          <w:rFonts w:ascii="仿宋_GB2312" w:hAnsi="仿宋_GB2312"/>
          <w:sz w:val="32"/>
        </w:rPr>
      </w:pPr>
      <w:r>
        <w:rPr>
          <w:rStyle w:val="C3"/>
          <w:rFonts w:ascii="Microsoft YaHei UI" w:hAnsi="Microsoft YaHei UI"/>
          <w:sz w:val="32"/>
        </w:rPr>
        <w:t>（一）房地产开发项目的性质、规模和开发期限；</w:t>
      </w:r>
    </w:p>
    <w:p>
      <w:pPr>
        <w:pStyle w:val="P1"/>
        <w:spacing w:lineRule="exact" w:line="580"/>
        <w:ind w:firstLine="640"/>
        <w:rPr>
          <w:rStyle w:val="C3"/>
          <w:rFonts w:ascii="仿宋_GB2312" w:hAnsi="仿宋_GB2312"/>
          <w:sz w:val="32"/>
        </w:rPr>
      </w:pPr>
      <w:r>
        <w:rPr>
          <w:rStyle w:val="C3"/>
          <w:rFonts w:ascii="Microsoft YaHei UI" w:hAnsi="Microsoft YaHei UI"/>
          <w:sz w:val="32"/>
        </w:rPr>
        <w:t>（二）城市规划设计条件；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（三）基础设施和公共设施的建设要求；</w:t>
      </w:r>
    </w:p>
    <w:p>
      <w:pPr>
        <w:pStyle w:val="P1"/>
        <w:spacing w:lineRule="exact" w:line="580"/>
        <w:ind w:firstLine="640"/>
        <w:rPr>
          <w:rStyle w:val="C3"/>
          <w:rFonts w:ascii="仿宋_GB2312" w:hAnsi="仿宋_GB2312"/>
          <w:sz w:val="32"/>
        </w:rPr>
      </w:pPr>
      <w:r>
        <w:rPr>
          <w:rStyle w:val="C3"/>
          <w:rFonts w:ascii="Microsoft YaHei UI" w:hAnsi="Microsoft YaHei UI"/>
          <w:sz w:val="32"/>
        </w:rPr>
        <w:t>（四）基础设施建成后的产权界定；</w:t>
      </w:r>
    </w:p>
    <w:p>
      <w:pPr>
        <w:pStyle w:val="P1"/>
        <w:spacing w:lineRule="exact" w:line="580"/>
        <w:ind w:firstLine="640"/>
        <w:rPr>
          <w:rStyle w:val="C3"/>
          <w:rFonts w:ascii="仿宋_GB2312" w:hAnsi="仿宋_GB2312"/>
          <w:sz w:val="32"/>
        </w:rPr>
      </w:pPr>
      <w:r>
        <w:rPr>
          <w:rStyle w:val="C3"/>
          <w:rFonts w:ascii="Microsoft YaHei UI" w:hAnsi="Microsoft YaHei UI"/>
          <w:sz w:val="32"/>
        </w:rPr>
        <w:t>（五）项目拆迁补偿、安置要求。</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房地产开发企业在获得开发建设项目之日起十五日内，到项目所在地房地产开发行政管理部门领取城市房地产开发建设项目手册。</w:t>
      </w:r>
    </w:p>
    <w:p>
      <w:pPr>
        <w:pStyle w:val="P1"/>
        <w:spacing w:lineRule="exact" w:line="580"/>
        <w:ind w:firstLine="640"/>
        <w:rPr>
          <w:rStyle w:val="C3"/>
          <w:rFonts w:ascii="仿宋_GB2312" w:hAnsi="仿宋_GB2312"/>
          <w:sz w:val="32"/>
        </w:rPr>
      </w:pPr>
      <w:r>
        <w:rPr>
          <w:rStyle w:val="C3"/>
          <w:rFonts w:ascii="Microsoft YaHei UI" w:hAnsi="Microsoft YaHei UI"/>
          <w:sz w:val="32"/>
        </w:rPr>
        <w:t>房地产开发企业在项目建设过程中应当将主要事项记录在项目手册中，定期报送项目所在地房地产开发行政管理部门备案。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房地产开发项目应当建立资本金制度，资本金占项目总投资的比例不得低于百分之二十。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企业应当按照土地使用权出让合同约定的土地用途、动工开发期限进行项目开发建设。出让合同约定的动工开发期限满一年未动工开发的，可以征收相当于土地使用权出让金百分之二十以下的土地闲置费；满两年未动工开发的，可以无偿收回土地使用权。因不可抗力或者政府、政府有关部门的行为或者动工开发必需的前期工作造成动工迟延的除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项目竣工，房地产开发企业应当组织设计、施工、工程监理等有关单位进行竣工验收；对涉及公共安全的内容，应当按照有关法律、法规的规定进行单项验收，经验收合格后，方可交付使用，并向有关部门备案；未经验收或者验收不合格的，不得交付使用。</w:t>
      </w:r>
    </w:p>
    <w:p>
      <w:pPr>
        <w:pStyle w:val="P1"/>
        <w:spacing w:lineRule="exact" w:line="580"/>
        <w:ind w:firstLine="640"/>
        <w:rPr>
          <w:rStyle w:val="C3"/>
          <w:rFonts w:ascii="仿宋_GB2312" w:hAnsi="仿宋_GB2312"/>
          <w:sz w:val="32"/>
        </w:rPr>
      </w:pPr>
      <w:r>
        <w:rPr>
          <w:rStyle w:val="C3"/>
          <w:rFonts w:ascii="Microsoft YaHei UI" w:hAnsi="Microsoft YaHei UI"/>
          <w:sz w:val="32"/>
        </w:rPr>
        <w:t>住宅小区等群体房地产开发项目竣工后，房地产开发企业应当向项目所在地房地产开发行政管理部门提出综合验收申请。房地产开发行政管理部门应当自收到综合验收申请之日起三十日内，组织工程质量监督、规划、消防、人防等有关部门对以下内容进行综合验收：</w:t>
      </w:r>
    </w:p>
    <w:p>
      <w:pPr>
        <w:pStyle w:val="P1"/>
        <w:spacing w:lineRule="exact" w:line="580"/>
        <w:ind w:firstLine="640"/>
        <w:rPr>
          <w:rStyle w:val="C3"/>
          <w:rFonts w:ascii="仿宋_GB2312" w:hAnsi="仿宋_GB2312"/>
          <w:sz w:val="32"/>
        </w:rPr>
      </w:pPr>
      <w:r>
        <w:rPr>
          <w:rStyle w:val="C3"/>
          <w:rFonts w:ascii="Microsoft YaHei UI" w:hAnsi="Microsoft YaHei UI"/>
          <w:sz w:val="32"/>
        </w:rPr>
        <w:t>（一）城市规划设计条件的落实情况；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（二）配套的基础设施和公共设施的建设情况；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（三）单项工程的工程质量验收备案情况；</w:t>
      </w:r>
    </w:p>
    <w:p>
      <w:pPr>
        <w:pStyle w:val="P1"/>
        <w:spacing w:lineRule="exact" w:line="580"/>
        <w:ind w:firstLine="640"/>
        <w:rPr>
          <w:rStyle w:val="C3"/>
          <w:rFonts w:ascii="仿宋_GB2312" w:hAnsi="仿宋_GB2312"/>
          <w:sz w:val="32"/>
        </w:rPr>
      </w:pPr>
      <w:r>
        <w:rPr>
          <w:rStyle w:val="C3"/>
          <w:rFonts w:ascii="Microsoft YaHei UI" w:hAnsi="Microsoft YaHei UI"/>
          <w:sz w:val="32"/>
        </w:rPr>
        <w:t>（四）拆迁安置方案的落实情况；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（五）物业管理的落实情况。</w:t>
      </w:r>
    </w:p>
    <w:p>
      <w:pPr>
        <w:pStyle w:val="P1"/>
        <w:spacing w:lineRule="exact" w:line="580"/>
        <w:ind w:firstLine="640"/>
        <w:rPr>
          <w:rStyle w:val="C3"/>
          <w:rFonts w:ascii="仿宋_GB2312" w:hAnsi="仿宋_GB2312"/>
          <w:sz w:val="32"/>
        </w:rPr>
      </w:pPr>
      <w:r>
        <w:rPr>
          <w:rStyle w:val="C3"/>
          <w:rFonts w:ascii="Microsoft YaHei UI" w:hAnsi="Microsoft YaHei UI"/>
          <w:sz w:val="32"/>
        </w:rPr>
        <w:t>住宅小区等群体房地产开发项目实行分期开发的，可以分期综合验收。</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房地产经营</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以出让方式取得土地使用权的房地产开发项目转让时，应当符合下列条件：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（一）转让人已支付全部土地使用权出让金，并取得土地使用权证书；</w:t>
      </w:r>
    </w:p>
    <w:p>
      <w:pPr>
        <w:pStyle w:val="P1"/>
        <w:spacing w:lineRule="exact" w:line="580"/>
        <w:ind w:firstLine="640"/>
        <w:rPr>
          <w:rStyle w:val="C3"/>
          <w:rFonts w:ascii="仿宋_GB2312" w:hAnsi="仿宋_GB2312"/>
          <w:sz w:val="32"/>
        </w:rPr>
      </w:pPr>
      <w:r>
        <w:rPr>
          <w:rStyle w:val="C3"/>
          <w:rFonts w:ascii="Microsoft YaHei UI" w:hAnsi="Microsoft YaHei UI"/>
          <w:sz w:val="32"/>
        </w:rPr>
        <w:t>（二）按照出让合同约定进行投资开发，属于房屋建设工程的，完成开发投资总额的百分之二十五以上；属于成片开发土地的，形成工业用地或者其他建设用地条件。转让房地产时房屋已经建成的，还应当持有房屋所有权证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以划拨方式取得土地使用权的房地产开发项目转让时，应当按照国务院规定，报有批准权的人民政府审批。有批准权的人民政府准予转让的，应当由受让方办理土地使用权出让手续，并依照国家有关规定缴纳土地使用权出让金。</w:t>
      </w:r>
    </w:p>
    <w:p>
      <w:pPr>
        <w:pStyle w:val="P1"/>
        <w:spacing w:lineRule="exact" w:line="580"/>
        <w:ind w:firstLine="640"/>
        <w:rPr>
          <w:rStyle w:val="C3"/>
          <w:rFonts w:ascii="仿宋_GB2312" w:hAnsi="仿宋_GB2312"/>
          <w:sz w:val="32"/>
        </w:rPr>
      </w:pPr>
      <w:r>
        <w:rPr>
          <w:rStyle w:val="C3"/>
          <w:rFonts w:ascii="Microsoft YaHei UI" w:hAnsi="Microsoft YaHei UI"/>
          <w:sz w:val="32"/>
        </w:rPr>
        <w:t>以划拨方式取得土地使用权的，转让房地产开发项目报批时，有批准权的人民政府按照国务院规定决定可以不办理土地使用权出让手续的，转让方应当按照国务院规定将转让房地产项目所获收益中的土地收益上缴国家或者作其他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转让房地产开发项目，转让人与受让人应当自土地使用权变更登记手续办理完毕之日起三十日内，持房地产开发项目转让合同到当地房地产开发行政管理部门备案。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企业转让房地产开发项目时，尚未完成拆迁补偿安置的，原拆迁补偿安置合同中有关的权利、义务随之转移给受让人。已完成拆迁补偿安置的，对可能出现的遗留问题，应当明确责任方。项目转让人与受让人应当联合书面通知被拆迁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商品房预售实行许可制度。房地产开发企业预售商品房应当符合有关法律、法规规定的条件，并向旗县级以上人民政府房地产开发行政管理部门申请办理预售登记，取得商品房预售许可证。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旗县级以上人民政府房地产开发行政管理部门应当自收到商品房预售申请之日起十日内作出答复，同意预售的，应当核发商品房预售许可证；不同意预售的，应当说明理由。</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房地产开发企业作商品房预售广告和其他方式宣传时，应当载明商品房预售许可证批准文号。</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商品房预售时，房地产开发企业应当向预购人出示商品房预售许可证。房地产开发企业应当自商品房预售合同签订之日起三十日内，到商品房所在地的旗县级以上人民政府房地产开发行政管理部门和土地行政管理部门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预售商品房所得款项，必须用于该项目的开发建设。房地产开发行政管理部门应当会同有关部门建立商品房预售所得款项的监管制度。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商品房销售，当事人双方应当签订国家有关部门统一印制的规范的商品房买卖合同。合同应当载明商品房的建筑面积、使用面积、公摊面积、价格、交付使用日期、质量要求、物业管理方式以及双方的违约责任。</w:t>
      </w:r>
    </w:p>
    <w:p>
      <w:pPr>
        <w:pStyle w:val="P1"/>
        <w:spacing w:lineRule="exact" w:line="580"/>
        <w:ind w:firstLine="640"/>
        <w:rPr>
          <w:rStyle w:val="C3"/>
          <w:rFonts w:ascii="仿宋_GB2312" w:hAnsi="仿宋_GB2312"/>
          <w:sz w:val="32"/>
        </w:rPr>
      </w:pPr>
      <w:r>
        <w:rPr>
          <w:rStyle w:val="C3"/>
          <w:rFonts w:ascii="Microsoft YaHei UI" w:hAnsi="Microsoft YaHei UI"/>
          <w:sz w:val="32"/>
        </w:rPr>
        <w:t>计算商品房面积，应当执行国家《房产测量规范》标准。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企业委托具有相应资质等级的房地产中介服务机构代理销售商品房的，应当向中介服务机构出具委托书。中介服务机构销售商品房时，应当向商品房购买人出示商品房的有关证明文件和商品房销售委托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房地产开发项目转让和商品房销售价格由当事人协商议定。享受国家优惠政策的居民住宅实行政府指导价或者政府定价。</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企业应当在商品房交付使用时，向购买人提供《住宅质量保证书》和《住宅使用说明书》。房地产开发企业应当按照质量保证书的内容，承担保修责任。保修期内，因房地产开发企业对商品房进行维修，致使房屋原有使用功能受到影响，给购买人造成损失的，应当依法承担赔偿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商品房交付使用后，购买人认为主体结构质量不合格的，可以向工程质量监督机构申请核验。经核验，属主体结构质量不合格的，购买人有权退房；给购买人造成损失的，房地产开发企业应当依法承担赔偿责任。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预售商品房的购买人应当自商品房交付使用之日起九十日内，办理土地使用权变更和房屋所有权登记手续。现售商品房的购买人应当自销售合同签订之日起九十日内，办理土地使用权变更和房屋所有权登记手续。房地产开发企业应当协助商品房购买人办理土地使用权变更和房屋所有权登记手续，并提供必要的证明文件。</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违反本条例规定，未取得房地产开发经营营业执照，擅自从事房地产开发经营的，由旗县级以上人民政府工商行政管理部门责令停止房地产开发经营活动，没收违法所得，可以并处违法所得五倍以下的罚款。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违反本条例规定，未取得资质证书或者超越资质等级从事房地产开发经营的，由旗县级以上人民政府房地产开发行政管理部门责令限期改正，处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万元以下的罚款；逾期不改正的，依据国务院《城市房地产开发经营管理条例》的规定，由工商行政管理部门吊销营业执照。</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违反本条例规定，擅自转让房地产开发项目的，由旗县级以上人民政府土地行政管理部门责令其停止违法行为，没收违法所得，可以并处违法所得五倍以下的罚款。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房地产开发企业有下列行为之一的，由原资质审批部门公告资质证书作废，收回证书，可以并处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（一）隐瞒真实情况、弄虚作假骗取资质证书的；</w:t>
      </w:r>
    </w:p>
    <w:p>
      <w:pPr>
        <w:pStyle w:val="P1"/>
        <w:spacing w:lineRule="exact" w:line="580"/>
        <w:ind w:firstLine="640"/>
        <w:rPr>
          <w:rStyle w:val="C3"/>
          <w:rFonts w:ascii="仿宋_GB2312" w:hAnsi="仿宋_GB2312"/>
          <w:sz w:val="32"/>
        </w:rPr>
      </w:pPr>
      <w:r>
        <w:rPr>
          <w:rStyle w:val="C3"/>
          <w:rFonts w:ascii="Microsoft YaHei UI" w:hAnsi="Microsoft YaHei UI"/>
          <w:sz w:val="32"/>
        </w:rPr>
        <w:t>（二）涂改、出租、出借、转让、出卖资质证书的。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房地产开发企业在商品住宅销售中不按规定发放《住宅质量保证书》或者《住宅使用说明书》的，由旗县级以上人民政府房地产开发行政管理部门予以警告、责令限期改正，可以并处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万元以下的罚款；情节严重的，由原资质审批部门给予降低资质等级的处罚。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违反本条例规定，自治区外房地产开发企业在自治区内进行房地产开发经营，未办理资质登记手续的，由旗县级以上人民政府房地产开发行政管理部门责令限期改正，可以并处</w:t>
      </w:r>
      <w:r>
        <w:rPr>
          <w:rStyle w:val="C3"/>
          <w:rFonts w:ascii="仿宋_GB2312" w:hAnsi="仿宋_GB2312"/>
          <w:sz w:val="32"/>
        </w:rPr>
        <w:t>5000</w:t>
      </w:r>
      <w:r>
        <w:rPr>
          <w:rStyle w:val="C3"/>
          <w:rFonts w:ascii="Microsoft YaHei UI" w:hAnsi="Microsoft YaHei UI"/>
          <w:sz w:val="32"/>
        </w:rPr>
        <w:t>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违反本条例规定，未领取商品房预售许可证预售商品房的，由旗县级以上人民政府房地产开发行政管理部门责令停止违法行为，没收违法所得，可以并处已收取的预付款百分之一以下的罚款。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违反本条例规定，房地产开发企业对其开发建设的项目未组织竣工验收交付使用的，由旗县级以上人民政府房地产开发行政管理部门责令限期验收；逾期不验收的，处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房地产开发企业开发建设的项目工程质量低劣的，由原资质审批部门降低资质等级，情节严重的吊销资质证书。对验收不合格的房屋交付使用的，由旗县级以上人民政府房地产开发行政管理部门责令限期返修，并处交付使用房屋总造价百分之二以下的罚款；情节严重或者发生重大工程质量事故的，依据国务院《城市房地产开发经营管理条例》的规定，由工商行政管理部门吊销营业执照。给购买人造成损失的，应当依法承担赔偿责任；造成重大伤亡事故或者其他严重后果，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国家有关管理部门及其工作人员在房地产开发经营监督管理中，有下列行为之一的，根据情节轻重，给予批评教育、责令停止职务或者给予行政处分；构成犯罪的，依法追究刑事责任：</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违反本条例规定，未达到资质条件而批准资质等级的；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超过法定审批时限，符合条件而不审批的；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违反规划、土地、园林、消防等法律、法规规定擅自批准建设的；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没有法律、法规的依据，向房地产开发企业收费的；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不具备商品房预售条件而批准预售的；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滥用职权，随意处罚当事人的；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其他违法违纪行为。</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在自治区城市规划区外国有土地上从事房地产开发经营，实施房地产开发经营监督管理，参照本条例执行。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自治区城市规划区内集体所有的土地，经依法征收转为国有土地后，方可用于房地产开发经营。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2016-08-25T02:00:00Z</dcterms:created>
  <cp:lastModifiedBy>f1TZOF\f1TZOF-</cp:lastModifiedBy>
  <dcterms:modified xsi:type="dcterms:W3CDTF">2024-08-28T01:35:48Z</dcterms:modified>
  <cp:revision>7</cp:revision>
  <dc:title>内蒙古自治区城市房地产开发经营管理条例</dc:title>
</cp:coreProperties>
</file>