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E12A0F" Type="http://schemas.openxmlformats.org/officeDocument/2006/relationships/officeDocument" Target="/word/document.xml" /><Relationship Id="coreRDE12A0F" Type="http://schemas.openxmlformats.org/package/2006/relationships/metadata/core-properties" Target="/docProps/core.xml" /><Relationship Id="customRDE12A0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海口市人民代表大会常务委员会</w:t>
      </w: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关于修改</w:t>
      </w:r>
      <w:r>
        <w:rPr>
          <w:rStyle w:val="C3"/>
          <w:rFonts w:ascii="宋体" w:hAnsi="宋体"/>
          <w:color w:val="000000"/>
          <w:sz w:val="44"/>
        </w:rPr>
        <w:t>《</w:t>
      </w:r>
      <w:r>
        <w:rPr>
          <w:rStyle w:val="C3"/>
          <w:rFonts w:ascii="宋体" w:hAnsi="宋体"/>
          <w:sz w:val="44"/>
        </w:rPr>
        <w:t>海口市城市管理综合行政执法</w:t>
      </w: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宋体" w:hAnsi="宋体"/>
          <w:sz w:val="44"/>
        </w:rPr>
        <w:t>条例</w:t>
      </w:r>
      <w:r>
        <w:rPr>
          <w:rStyle w:val="C3"/>
          <w:rFonts w:ascii="宋体" w:hAnsi="宋体"/>
          <w:color w:val="000000"/>
          <w:sz w:val="44"/>
        </w:rPr>
        <w:t>》</w:t>
      </w:r>
      <w:r>
        <w:rPr>
          <w:rStyle w:val="C3"/>
          <w:rFonts w:ascii="宋体" w:hAnsi="宋体"/>
          <w:sz w:val="44"/>
        </w:rPr>
        <w:t>等两件法规的决定</w:t>
      </w:r>
    </w:p>
    <w:p>
      <w:pPr>
        <w:pStyle w:val="P1"/>
        <w:widowControl w:val="1"/>
        <w:suppressAutoHyphens w:val="1"/>
        <w:spacing w:lineRule="exact" w:line="560"/>
        <w:ind w:firstLine="600"/>
        <w:rPr>
          <w:rStyle w:val="C3"/>
          <w:rFonts w:ascii="楷体_GB2312" w:hAnsi="楷体_GB2312"/>
          <w:color w:val="000000"/>
          <w:sz w:val="30"/>
        </w:rPr>
      </w:pPr>
      <w:r>
        <w:rPr>
          <w:rStyle w:val="C3"/>
          <w:rFonts w:ascii="楷体_GB2312" w:hAnsi="楷体_GB2312"/>
          <w:color w:val="000000"/>
          <w:sz w:val="30"/>
        </w:rPr>
        <w:t>(2021</w:t>
      </w:r>
      <w:r>
        <w:rPr>
          <w:rStyle w:val="C3"/>
          <w:rFonts w:ascii="Microsoft YaHei UI" w:hAnsi="Microsoft YaHei UI"/>
          <w:color w:val="000000"/>
          <w:sz w:val="30"/>
        </w:rPr>
        <w:t>年</w:t>
      </w:r>
      <w:r>
        <w:rPr>
          <w:rStyle w:val="C3"/>
          <w:rFonts w:ascii="楷体_GB2312" w:hAnsi="楷体_GB2312"/>
          <w:color w:val="000000"/>
          <w:sz w:val="30"/>
        </w:rPr>
        <w:t>9</w:t>
      </w:r>
      <w:r>
        <w:rPr>
          <w:rStyle w:val="C3"/>
          <w:rFonts w:ascii="Microsoft YaHei UI" w:hAnsi="Microsoft YaHei UI"/>
          <w:color w:val="000000"/>
          <w:sz w:val="30"/>
        </w:rPr>
        <w:t>月</w:t>
      </w:r>
      <w:r>
        <w:rPr>
          <w:rStyle w:val="C3"/>
          <w:rFonts w:ascii="楷体_GB2312" w:hAnsi="楷体_GB2312"/>
          <w:color w:val="000000"/>
          <w:sz w:val="30"/>
        </w:rPr>
        <w:t>3</w:t>
      </w:r>
      <w:r>
        <w:rPr>
          <w:rStyle w:val="C3"/>
          <w:rFonts w:ascii="Microsoft YaHei UI" w:hAnsi="Microsoft YaHei UI"/>
          <w:color w:val="000000"/>
          <w:sz w:val="30"/>
        </w:rPr>
        <w:t>日海口市第十六届人民代表大会常务委员会第四十八次会议通过</w:t>
      </w:r>
      <w:r>
        <w:rPr>
          <w:rStyle w:val="C3"/>
          <w:rFonts w:ascii="楷体_GB2312" w:hAnsi="楷体_GB2312"/>
          <w:color w:val="000000"/>
          <w:sz w:val="30"/>
        </w:rPr>
        <w:t xml:space="preserve">  2021</w:t>
      </w:r>
      <w:r>
        <w:rPr>
          <w:rStyle w:val="C3"/>
          <w:rFonts w:ascii="Microsoft YaHei UI" w:hAnsi="Microsoft YaHei UI"/>
          <w:color w:val="000000"/>
          <w:sz w:val="30"/>
        </w:rPr>
        <w:t>年</w:t>
      </w:r>
      <w:r>
        <w:rPr>
          <w:rStyle w:val="C3"/>
          <w:rFonts w:ascii="楷体_GB2312" w:hAnsi="楷体_GB2312"/>
          <w:color w:val="000000"/>
          <w:sz w:val="30"/>
        </w:rPr>
        <w:t>12</w:t>
      </w:r>
      <w:r>
        <w:rPr>
          <w:rStyle w:val="C3"/>
          <w:rFonts w:ascii="Microsoft YaHei UI" w:hAnsi="Microsoft YaHei UI"/>
          <w:color w:val="000000"/>
          <w:sz w:val="30"/>
        </w:rPr>
        <w:t>月</w:t>
      </w:r>
      <w:r>
        <w:rPr>
          <w:rStyle w:val="C3"/>
          <w:rFonts w:ascii="楷体_GB2312" w:hAnsi="楷体_GB2312"/>
          <w:color w:val="000000"/>
          <w:sz w:val="30"/>
        </w:rPr>
        <w:t>1</w:t>
      </w:r>
      <w:r>
        <w:rPr>
          <w:rStyle w:val="C3"/>
          <w:rFonts w:ascii="Microsoft YaHei UI" w:hAnsi="Microsoft YaHei UI"/>
          <w:color w:val="000000"/>
          <w:sz w:val="30"/>
        </w:rPr>
        <w:t>日海南省第六届人民代表大会常务委员会第三十一次会议批准</w:t>
      </w:r>
      <w:r>
        <w:rPr>
          <w:rStyle w:val="C3"/>
          <w:rFonts w:ascii="楷体_GB2312" w:hAnsi="楷体_GB2312"/>
          <w:color w:val="000000"/>
          <w:sz w:val="30"/>
        </w:rPr>
        <w:t>)</w:t>
      </w:r>
    </w:p>
    <w:p>
      <w:pPr>
        <w:pStyle w:val="P1"/>
        <w:widowControl w:val="1"/>
        <w:suppressAutoHyphens w:val="1"/>
        <w:spacing w:lineRule="exact" w:line="600"/>
        <w:rPr>
          <w:rStyle w:val="C3"/>
          <w:rFonts w:ascii="楷体_GB2312" w:hAnsi="楷体_GB2312"/>
          <w:color w:val="000000"/>
          <w:sz w:val="32"/>
        </w:rPr>
      </w:pPr>
    </w:p>
    <w:p>
      <w:pPr>
        <w:pStyle w:val="P1"/>
        <w:keepNext w:val="0"/>
        <w:keepLines w:val="0"/>
        <w:widowControl w:val="1"/>
        <w:suppressAutoHyphens w:val="1"/>
        <w:spacing w:lineRule="exact" w:line="560"/>
        <w:ind w:firstLine="640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海口市第十六届人民代表大会常务委员会第四十八次会议决定：</w:t>
      </w:r>
    </w:p>
    <w:p>
      <w:pPr>
        <w:pStyle w:val="P1"/>
        <w:keepNext w:val="0"/>
        <w:keepLines w:val="0"/>
        <w:widowControl w:val="1"/>
        <w:suppressAutoHyphens w:val="1"/>
        <w:spacing w:lineRule="exact" w:line="560"/>
        <w:ind w:firstLine="640"/>
        <w:rPr>
          <w:rStyle w:val="C3"/>
          <w:rFonts w:ascii="黑体" w:hAnsi="黑体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一、对《海口市城市管理综合行政执法条例》作出修改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（一</w:t>
      </w:r>
      <w:r>
        <w:rPr>
          <w:rStyle w:val="C3"/>
          <w:rFonts w:ascii="方正姚体" w:hAnsi="方正姚体"/>
          <w:sz w:val="32"/>
        </w:rPr>
        <w:t>）将第十条修改为：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综合执法部门行使行政处罚权的具体范围，根据国务院或者省人民政府决定，由市人民政府向社会公布。</w:t>
      </w:r>
      <w:r>
        <w:rPr>
          <w:rStyle w:val="C3"/>
          <w:rFonts w:ascii="Times New Roman" w:hAnsi="Times New Roman"/>
          <w:sz w:val="32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（二）删去第十一条。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（三）将第十三条改为第十二条，增加一款作为第二款：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两个以上区综合执法部门都有管辖权的，由最先立案的区综合执法部门管辖。</w:t>
      </w:r>
      <w:r>
        <w:rPr>
          <w:rStyle w:val="C3"/>
          <w:rFonts w:ascii="Times New Roman" w:hAnsi="Times New Roman"/>
          <w:sz w:val="32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（四）将第二十条改为第十九条，修改为：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综合执法部门在作出行政处罚决定之前，应当告知当事人拟作出的行政处罚内容及事实、理由、依据，并告知当事人依法享有的陈述、申辩、要求听证等权利。</w:t>
      </w:r>
      <w:r>
        <w:rPr>
          <w:rStyle w:val="C3"/>
          <w:rFonts w:ascii="Times New Roman" w:hAnsi="Times New Roman"/>
          <w:sz w:val="32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（五）将第二十九条改为第二十八条，修改为：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当事人未按照规定履行行政处罚决定的，综合执法部门可以依法采取下列措施：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（一）逾期不缴纳罚款的，每日按罚款数额的百分之三加处罚款，加处罚款的数额不得超出原罚款数额；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（二）根据法律规定，将查封、扣押的财物拍卖或者依法处理抵缴罚款；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（三）当事人确有经济困难无法缴纳罚款的，经当事人申请和综合执法部门批准，可以暂缓或者分期缴纳；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（四）通知社会保险、保障性住房、市场监管、金融监管、公共征信等机构将当事人违法信息录入公共信用信息服务平台；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（五）根据法律规定，采取其他行政强制执行方式；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（六）依照《中华人民共和国行政强制法》的规定申请人民法院强制执行。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综合执法部门批准延期、分期缴纳罚款的，申请人民法院强制执行的期限，自暂缓或者分期缴纳罚款期限结束之日起计算。</w:t>
      </w:r>
      <w:r>
        <w:rPr>
          <w:rStyle w:val="C3"/>
          <w:rFonts w:ascii="Times New Roman" w:hAnsi="Times New Roman"/>
          <w:sz w:val="32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（六）将第四十二条改为第四十一条，修改为：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综合执法部门及其工作人员在综合执法工作中有滥用职权、玩忽职守、徇私舞弊等行为的，对直接负责的主管人员和其他直接责任人员依法给予处分；构成犯罪的，依法追究刑事责任。</w:t>
      </w:r>
      <w:r>
        <w:rPr>
          <w:rStyle w:val="C3"/>
          <w:rFonts w:ascii="Times New Roman" w:hAnsi="Times New Roman"/>
          <w:sz w:val="32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（七）删去第四十四条、第四十五条中的</w:t>
      </w:r>
      <w:r>
        <w:rPr>
          <w:rStyle w:val="C3"/>
          <w:rFonts w:ascii="Times New Roman" w:hAnsi="Times New Roman"/>
          <w:sz w:val="32"/>
        </w:rPr>
        <w:t>“</w:t>
      </w:r>
      <w:r>
        <w:rPr>
          <w:rStyle w:val="C3"/>
          <w:rFonts w:ascii="方正姚体" w:hAnsi="方正姚体"/>
          <w:sz w:val="32"/>
        </w:rPr>
        <w:t>通报批评</w:t>
      </w:r>
      <w:r>
        <w:rPr>
          <w:rStyle w:val="C3"/>
          <w:rFonts w:ascii="Times New Roman" w:hAnsi="Times New Roman"/>
          <w:sz w:val="32"/>
        </w:rPr>
        <w:t>”</w:t>
      </w:r>
      <w:r>
        <w:rPr>
          <w:rStyle w:val="C3"/>
          <w:rFonts w:ascii="方正姚体" w:hAnsi="方正姚体"/>
          <w:sz w:val="32"/>
        </w:rPr>
        <w:t>。</w:t>
      </w:r>
    </w:p>
    <w:p>
      <w:pPr>
        <w:pStyle w:val="P1"/>
        <w:keepNext w:val="0"/>
        <w:keepLines w:val="0"/>
        <w:widowControl w:val="1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黑体" w:hAnsi="黑体"/>
          <w:color w:val="000000"/>
          <w:sz w:val="32"/>
        </w:rPr>
        <w:t>二、对《海口市房屋租赁管理条例》作出修改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color w:val="000000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</w:rPr>
        <w:t>（一）将第三十</w:t>
      </w: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条修改为：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“</w:t>
      </w: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违反本条例第九条第二款、第三款的规定，出租住宅房屋未以原设计的房间为最小出租单位，或者人均租住建筑面积低于本市规定的最低标准，或者将厨房、卫生间、阳台和地下储藏室出租供人员居住的，由房屋行政管理部门责令限期改正；逾期不改正的，处五千元以上三万元以下的罚款。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color w:val="000000"/>
          <w:sz w:val="32"/>
          <w:shd w:val="clear" w:color="auto" w:fill="FFFFFF"/>
        </w:rPr>
      </w:pP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（二）将第三十一条修改为：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“</w:t>
      </w: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违反本条例第十条的规定，将禁止出租的房屋用于出租的，由房屋行政管理部门责令限期改正，没有违法所得的，处五千元以下的罚款；有违法所得的，除依法应当退赔的外，应当予以没收，并处违法所得一倍以上三倍以下，但不超过三万元的罚款。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（三）将第三十二条修改为：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“</w:t>
      </w: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违反本条例第十七条的规定，不按规定办理房屋租赁备案手续的，由房屋行政管理部门责令限期改正；个人逾期不改正的，处一千元以下的罚款；单位逾期不改正的，处一千元以上一万元以下的罚款。</w:t>
      </w:r>
      <w:r>
        <w:rPr>
          <w:rStyle w:val="C3"/>
          <w:rFonts w:ascii="Times New Roman" w:hAnsi="Times New Roman"/>
          <w:color w:val="000000"/>
          <w:sz w:val="32"/>
          <w:shd w:val="clear" w:color="auto" w:fill="FFFFFF"/>
        </w:rPr>
        <w:t>”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本决定自公布之日起施行。</w:t>
      </w:r>
    </w:p>
    <w:p>
      <w:pPr>
        <w:pStyle w:val="P1"/>
        <w:keepNext w:val="0"/>
        <w:keepLines w:val="0"/>
        <w:suppressAutoHyphens w:val="1"/>
        <w:spacing w:lineRule="exact" w:line="560"/>
        <w:ind w:firstLine="640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  <w:shd w:val="clear" w:color="auto" w:fill="FFFFFF"/>
        </w:rPr>
        <w:t>《</w:t>
      </w:r>
      <w:r>
        <w:rPr>
          <w:rStyle w:val="C3"/>
          <w:rFonts w:ascii="方正姚体" w:hAnsi="方正姚体"/>
          <w:color w:val="000000"/>
          <w:sz w:val="32"/>
          <w:shd w:val="clear" w:color="auto" w:fill="FFFFFF"/>
        </w:rPr>
        <w:t>海口市城市管理综合行政执法条例》《海口市房屋租赁管理条例》</w:t>
      </w:r>
      <w:r>
        <w:rPr>
          <w:rStyle w:val="C3"/>
          <w:rFonts w:ascii="方正姚体" w:hAnsi="方正姚体"/>
          <w:sz w:val="32"/>
          <w:shd w:val="clear" w:color="auto" w:fill="FFFFFF"/>
        </w:rPr>
        <w:t>根据本决定作相应修改，重新公布。</w:t>
      </w:r>
    </w:p>
    <w:p>
      <w:pPr>
        <w:pStyle w:val="P1"/>
        <w:widowControl w:val="1"/>
        <w:suppressAutoHyphens w:val="1"/>
        <w:spacing w:lineRule="exact" w:line="560"/>
        <w:jc w:val="center"/>
        <w:rPr>
          <w:rStyle w:val="C3"/>
          <w:rFonts w:ascii="微软简标宋" w:hAnsi="微软简标宋"/>
          <w:color w:val="000000"/>
          <w:sz w:val="44"/>
        </w:rPr>
      </w:pPr>
    </w:p>
    <w:p>
      <w:pPr>
        <w:pStyle w:val="P1"/>
        <w:widowControl w:val="1"/>
        <w:suppressAutoHyphens w:val="1"/>
        <w:spacing w:lineRule="exact" w:line="560"/>
        <w:jc w:val="center"/>
        <w:rPr>
          <w:rStyle w:val="C3"/>
          <w:rFonts w:ascii="微软简标宋" w:hAnsi="微软简标宋"/>
          <w:color w:val="000000"/>
          <w:sz w:val="44"/>
        </w:rPr>
      </w:pP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suppressAutoHyphens w:val="1"/>
      <w:jc w:val="both"/>
    </w:pPr>
    <w:rPr>
      <w:rFonts w:ascii="Calibri" w:hAnsi="Calibri"/>
      <w:color w:val="auto"/>
      <w:sz w:val="21"/>
    </w:rPr>
  </w:style>
  <w:style w:type="paragraph" w:styleId="P2">
    <w:name w:val="题注"/>
    <w:basedOn w:val="P1"/>
    <w:next w:val="P2"/>
    <w:pPr>
      <w:widowControl w:val="0"/>
      <w:suppressLineNumbers w:val="1"/>
      <w:suppressAutoHyphens w:val="1"/>
      <w:spacing w:before="120" w:after="120"/>
    </w:pPr>
    <w:rPr>
      <w:i w:val="1"/>
      <w:sz w:val="24"/>
    </w:rPr>
  </w:style>
  <w:style w:type="paragraph" w:styleId="P3">
    <w:name w:val="正文文本"/>
    <w:basedOn w:val="P1"/>
    <w:next w:val="P3"/>
    <w:pPr>
      <w:spacing w:lineRule="auto" w:line="276" w:before="0" w:after="140"/>
    </w:pPr>
    <w:rPr/>
  </w:style>
  <w:style w:type="paragraph" w:styleId="P4">
    <w:name w:val="Heading"/>
    <w:basedOn w:val="P1"/>
    <w:next w:val="P3"/>
    <w:pPr>
      <w:keepNext w:val="1"/>
      <w:widowControl w:val="0"/>
      <w:suppressAutoHyphens w:val="1"/>
      <w:spacing w:before="240" w:after="120"/>
    </w:pPr>
    <w:rPr>
      <w:rFonts w:ascii="Liberation Sans" w:hAnsi="Liberation Sans"/>
      <w:sz w:val="28"/>
    </w:rPr>
  </w:style>
  <w:style w:type="paragraph" w:styleId="P5">
    <w:name w:val="Index"/>
    <w:basedOn w:val="P1"/>
    <w:next w:val="P5"/>
    <w:pPr>
      <w:widowControl w:val="0"/>
      <w:suppressLineNumbers w:val="1"/>
      <w:suppressAutoHyphens w:val="1"/>
    </w:pPr>
    <w:rPr/>
  </w:style>
  <w:style w:type="paragraph" w:styleId="P6">
    <w:name w:val="列表"/>
    <w:basedOn w:val="P3"/>
    <w:next w:val="P6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默认段落字体1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2018-11-26T17:47:00Z</dcterms:created>
  <cp:lastModifiedBy>f1TZOF\f1TZOF-</cp:lastModifiedBy>
  <dcterms:modified xsi:type="dcterms:W3CDTF">2024-08-28T01:35:50Z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2052-11.8.2.10125</vt:lpwstr>
  </property>
</Properties>
</file>