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4FE59B" Type="http://schemas.openxmlformats.org/officeDocument/2006/relationships/officeDocument" Target="/word/document.xml" /><Relationship Id="coreR7D4FE59B" Type="http://schemas.openxmlformats.org/package/2006/relationships/metadata/core-properties" Target="/docProps/core.xml" /><Relationship Id="customR7D4FE5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人民防空法》办法</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日山西省第九届人民代表大会常务委员会第六次会议通过）</w:t>
      </w:r>
      <w:r>
        <w:rPr>
          <w:rStyle w:val="C3"/>
          <w:rFonts w:ascii="楷体_GB2312" w:hAnsi="楷体_GB2312"/>
          <w:sz w:val="32"/>
        </w:rPr>
        <w:t xml:space="preserve"> </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为实施《中华人民共和国人民防空法》（以下简称人民防空法），结合本省实际，制定本办法。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本省行政区域内的任何组织和个人，均应遵守本办法。</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县级以上人民政府和同级军事机关，领导本行政区域的人民防空工作。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应根据长期准备、重点建设、平战结合的方针以及与经济建设协调发展、与城市建设相结合的原则，结合本行政区域的实际情况，制定人民防空建设总体规划，将人民防空建设纳入国民经济和社会发展计划，并采取措施，切实组织实施。</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城市人民政府应将人民防空建设纳入城市总体规划，与城市建设同步实施。</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市（含县级市）人民政府、地区行政公署，以及国家和省确定的设区的人民防空重点城市所辖有关县（区）、担负战时疏散人口安置任务的县（区）和有省确定的重要经济目标的县（区）人民政府，应设置人民防空行政主管部门</w:t>
      </w:r>
      <w:r>
        <w:rPr>
          <w:rStyle w:val="C3"/>
          <w:rFonts w:ascii="仿宋_GB2312" w:hAnsi="仿宋_GB2312"/>
          <w:sz w:val="32"/>
        </w:rPr>
        <w:t>;</w:t>
      </w:r>
      <w:r>
        <w:rPr>
          <w:rStyle w:val="C3"/>
          <w:rFonts w:ascii="Microsoft YaHei UI" w:hAnsi="Microsoft YaHei UI"/>
          <w:sz w:val="32"/>
        </w:rPr>
        <w:t>其他县（区）人民政府应确定一个行政主管部门管理人民防空工作。</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县级以上人民防空行政主管部门管理本行政区域的人民防空工作，其主要职责是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（一）贯彻执行有关人民防空的法律、法规、规章和政策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（二）编制人民防空建设规划和计划，会同有关部门拟定城市防空袭方案及人民防空建设与城市建设相结合规划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（三）组织人民防空工程、通信、警报的建设和管理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（四）组织群众防空组织的建设和训练，组织人民防空演习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（五）组织人民防空宣传教育</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（六）管理人民防空经费和资产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（七）战时负责发放空袭警报，组织疏散和掩蔽，组织消除空袭后果等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（八）组织开发利用人民防空设备和设施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（九）上级人民防空行政主管部门和本级人民政府、军事机关赋予的其他职责。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县级以上人民政府的计划、规划、建设、财政、教育等部门，应按照各自的职责，负责有关的人民防空工作。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人民防空重点城市的街道办事处应确定专职或兼职人员，负责办理人民防空工作。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企业、事业单位根据人民防空工作的需要配备专（兼）职人员，管理本单位的人民防空工作。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人民防空经费由县级以上人民政府和社会共同负担。</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县级以上人民政府负担的人民防空经费，根据国家有关规定，由人民防空行政主管部门编制年度计划，按规定程序批准后，列入同级财政年度预算予以保障。</w:t>
      </w:r>
    </w:p>
    <w:p>
      <w:pPr>
        <w:pStyle w:val="P1"/>
        <w:spacing w:lineRule="exact" w:line="578"/>
        <w:ind w:firstLine="640"/>
        <w:rPr>
          <w:rStyle w:val="C3"/>
          <w:rFonts w:ascii="仿宋_GB2312" w:hAnsi="仿宋_GB2312"/>
          <w:sz w:val="32"/>
        </w:rPr>
      </w:pPr>
      <w:r>
        <w:rPr>
          <w:rStyle w:val="C3"/>
          <w:rFonts w:ascii="Microsoft YaHei UI" w:hAnsi="Microsoft YaHei UI"/>
          <w:sz w:val="32"/>
        </w:rPr>
        <w:t>社会负担的人民防空经费，其具体筹措和使用管理办法，由省人民政府另行制定。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防护重点</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城市是人民防空的重点。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城市人民政府和同级军事机关，根据国家规定的城市防护类别和标准，对城市实施防护。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城市人民政府和同级军事机关，负责组织制定本行政区域的防空袭方案及其实施计划，并根据形势和任务需要对方案和计划适时进行修订。</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城市人民政府制定城市总体规划时，应在城市的布局、建筑密度、主要疏散道路以及广场、绿地的分布和控制等方面符合人民防空要求。</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新建、改建、扩建重要经济目标时，应将其防护设施列入基本建设计划，由人民防空行政主管部门对防护设施的建设进行监督检查。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重要经济目标的使用和管理单位，应按防空袭方案制定战时防护措施和应急抢险抢修方案，并报当地人民防空行政主管部门备案。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人民防空工程</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各类人民防空工程的设计和施工，必须符合国家规定的防护标准、战术技术要求和质量标准。</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本办法公布前已建成的地下工程，未建防护设施的，应制定平战转换措施。</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人民防空工程的建设程序按国家规定执行。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县级以上人民防空行政主管部门按照国家规定的权限，负责人民防空工程建设项目的计划管理、设计管理、定额管理、施工质量监督和竣工验收。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人民防空工程的设计，必须由具有人民防空工程设计资格的单位承担。</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人民防空工程设计资格，由省建设行政主管部门和省人民防空行政主管部门共同审核认定。</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城市新建、扩建民用建筑时，必须按国家和省有关结合民用建筑修建防空地下室的规定，由建设方修建战时可用于防空的地下室。</w:t>
      </w:r>
    </w:p>
    <w:p>
      <w:pPr>
        <w:pStyle w:val="P1"/>
        <w:spacing w:lineRule="exact" w:line="578"/>
        <w:ind w:firstLine="640"/>
        <w:rPr>
          <w:rStyle w:val="C3"/>
          <w:rFonts w:ascii="仿宋_GB2312" w:hAnsi="仿宋_GB2312"/>
          <w:sz w:val="32"/>
        </w:rPr>
      </w:pPr>
      <w:r>
        <w:rPr>
          <w:rStyle w:val="C3"/>
          <w:rFonts w:ascii="Microsoft YaHei UI" w:hAnsi="Microsoft YaHei UI"/>
          <w:sz w:val="32"/>
        </w:rPr>
        <w:t>确因地质、施工条件限制等客观原因不能修建防空地下室的，建设方须按应建面积将修建防空地下室所需的费用交人民防空行政主管部门，由其统一组织、就近修建人民防空工程</w:t>
      </w:r>
      <w:r>
        <w:rPr>
          <w:rStyle w:val="C3"/>
          <w:rFonts w:ascii="仿宋_GB2312" w:hAnsi="仿宋_GB2312"/>
          <w:sz w:val="32"/>
        </w:rPr>
        <w:t>;</w:t>
      </w:r>
      <w:r>
        <w:rPr>
          <w:rStyle w:val="C3"/>
          <w:rFonts w:ascii="Microsoft YaHei UI" w:hAnsi="Microsoft YaHei UI"/>
          <w:sz w:val="32"/>
        </w:rPr>
        <w:t>交足修建防空地下室所需费用的建设方，其结合民用建筑修建防空地下室的法律义务视为已经履行。</w:t>
      </w:r>
    </w:p>
    <w:p>
      <w:pPr>
        <w:pStyle w:val="P1"/>
        <w:spacing w:lineRule="exact" w:line="578"/>
        <w:ind w:firstLine="640"/>
        <w:rPr>
          <w:rStyle w:val="C3"/>
          <w:rFonts w:ascii="仿宋_GB2312" w:hAnsi="仿宋_GB2312"/>
          <w:sz w:val="32"/>
        </w:rPr>
      </w:pPr>
      <w:r>
        <w:rPr>
          <w:rStyle w:val="C3"/>
          <w:rFonts w:ascii="Microsoft YaHei UI" w:hAnsi="Microsoft YaHei UI"/>
          <w:sz w:val="32"/>
        </w:rPr>
        <w:t>建设方所交的修建防空地下室费用，人民防空行政主管部门应专款专用，专户储存，不得挪作他用。</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鼓励公民、法人和其他组织投资建设和开发利用人民防空设施。投资建设和开发利用人民防空设施的，平时实行谁投资谁受益的原则。</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建设、开发利用人民防空设施的，按国家有关规定享受税、费和水电价减免等优惠。有关部门对人民防空工程所需的建设用地，应依法予以保障。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人民防空工程按人民防空法第二十五条的规定维护管理</w:t>
      </w:r>
      <w:r>
        <w:rPr>
          <w:rStyle w:val="C3"/>
          <w:rFonts w:ascii="仿宋_GB2312" w:hAnsi="仿宋_GB2312"/>
          <w:sz w:val="32"/>
        </w:rPr>
        <w:t>;</w:t>
      </w:r>
      <w:r>
        <w:rPr>
          <w:rStyle w:val="C3"/>
          <w:rFonts w:ascii="Microsoft YaHei UI" w:hAnsi="Microsoft YaHei UI"/>
          <w:sz w:val="32"/>
        </w:rPr>
        <w:t>平时开发利用的人民防空工程，由使用者维护管理。</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人民防空行政主管部门对人民防空工程的维护管理进行监督检查时，被检查单位和个人应提供有关情况和资料。</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任何单位和个人必须遵守下列规定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（一）不得在坑道工程</w:t>
      </w:r>
      <w:r>
        <w:rPr>
          <w:rStyle w:val="C3"/>
          <w:rFonts w:ascii="仿宋_GB2312" w:hAnsi="仿宋_GB2312"/>
          <w:sz w:val="32"/>
        </w:rPr>
        <w:t>50</w:t>
      </w:r>
      <w:r>
        <w:rPr>
          <w:rStyle w:val="C3"/>
          <w:rFonts w:ascii="Microsoft YaHei UI" w:hAnsi="Microsoft YaHei UI"/>
          <w:sz w:val="32"/>
        </w:rPr>
        <w:t>米范围内采石、爆破、伐木、取土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（二）不得在地道工程和掘开式工程的安全范围内取土、埋设管道或进行降低人民防空工程防护能力的作业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（三）不得擅自拆除和改造人民防空工程，确需拆除或改造的，必须经地（市）级以上人民防空行政主管部门批准，并由拆除者予以补建或按人民防空工程造价向人民防空行政主管部门交纳补建费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（四）不得在人民防空工程出入口、进出道路上修建建筑物。</w:t>
      </w:r>
    </w:p>
    <w:p>
      <w:pPr>
        <w:pStyle w:val="P1"/>
        <w:spacing w:lineRule="exact" w:line="578"/>
        <w:ind w:firstLine="640"/>
        <w:rPr>
          <w:rStyle w:val="C3"/>
          <w:rFonts w:ascii="仿宋_GB2312" w:hAnsi="仿宋_GB2312"/>
          <w:sz w:val="32"/>
        </w:rPr>
      </w:pPr>
      <w:r>
        <w:rPr>
          <w:rStyle w:val="C3"/>
          <w:rFonts w:ascii="Microsoft YaHei UI" w:hAnsi="Microsoft YaHei UI"/>
          <w:sz w:val="32"/>
        </w:rPr>
        <w:t>在人民防空工程上部和口部附近新建建筑物时，须征得人民防空行政主管部门的同意，并采取加固措施，留出口部的疏散通道和防倒塌半径。</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战时所有的人民防空设施，由人民防空行政主管部门统一调配使用。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通信与警报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各级人民政府应依法保障人民防空通信、警报的畅通。</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电信管理部门对防空音响警报所需的有线控制电路应无偿保障</w:t>
      </w:r>
      <w:r>
        <w:rPr>
          <w:rStyle w:val="C3"/>
          <w:rFonts w:ascii="仿宋_GB2312" w:hAnsi="仿宋_GB2312"/>
          <w:sz w:val="32"/>
        </w:rPr>
        <w:t>;</w:t>
      </w:r>
      <w:r>
        <w:rPr>
          <w:rStyle w:val="C3"/>
          <w:rFonts w:ascii="Microsoft YaHei UI" w:hAnsi="Microsoft YaHei UI"/>
          <w:sz w:val="32"/>
        </w:rPr>
        <w:t>组建人民防空应急抢险无线移动通信网和警报寻呼网所需的中继线，按普通中继线有偿保障。</w:t>
      </w:r>
    </w:p>
    <w:p>
      <w:pPr>
        <w:pStyle w:val="P1"/>
        <w:spacing w:lineRule="exact" w:line="578"/>
        <w:ind w:firstLine="640"/>
        <w:rPr>
          <w:rStyle w:val="C3"/>
          <w:rFonts w:ascii="仿宋_GB2312" w:hAnsi="仿宋_GB2312"/>
          <w:sz w:val="32"/>
        </w:rPr>
      </w:pPr>
      <w:r>
        <w:rPr>
          <w:rStyle w:val="C3"/>
          <w:rFonts w:ascii="Microsoft YaHei UI" w:hAnsi="Microsoft YaHei UI"/>
          <w:sz w:val="32"/>
        </w:rPr>
        <w:t>无线电管理部门对人民防空无线指挥通信、警报寻呼及微波通信、无线警报遥控等网络所需频率，应按国家和省有关规定予以保障。</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军队通信部门应为人民防空通信提供线路、电路、频率，保障人民防空行政主管部门与各级军事机关的联络畅通。</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公用通信、专业通信、广播电视、计算机、业余无线电等网络的主管部门和使用单位，应制定传递防空警报信号保障方案，战时必须优先传递、发放防空警报信号。</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人民防空行政主管部门战时有权采取强拆手段，进入前款规定的网络发放防空警报信号，任何组织和个人不得阻挠。</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人民防空行政主管部门根据战备需要建设、安装人民防空通信、警报设施，有关单位和个人应提供方便条件，不得阻挠。</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人民防空警报设施的维护管理由所在单位负责，使其经常处于良好使用状态。</w:t>
      </w:r>
    </w:p>
    <w:p>
      <w:pPr>
        <w:pStyle w:val="P1"/>
        <w:spacing w:lineRule="exact" w:line="578"/>
        <w:ind w:firstLine="640"/>
        <w:rPr>
          <w:rStyle w:val="C3"/>
          <w:rFonts w:ascii="仿宋_GB2312" w:hAnsi="仿宋_GB2312"/>
          <w:sz w:val="32"/>
        </w:rPr>
      </w:pPr>
      <w:r>
        <w:rPr>
          <w:rStyle w:val="C3"/>
          <w:rFonts w:ascii="Microsoft YaHei UI" w:hAnsi="Microsoft YaHei UI"/>
          <w:sz w:val="32"/>
        </w:rPr>
        <w:t>禁止擅自搬迁、拆除人民防空通信、警报设施。确需搬迁的，须报经人民防空行政主管部门批准</w:t>
      </w:r>
      <w:r>
        <w:rPr>
          <w:rStyle w:val="C3"/>
          <w:rFonts w:ascii="仿宋_GB2312" w:hAnsi="仿宋_GB2312"/>
          <w:sz w:val="32"/>
        </w:rPr>
        <w:t>;</w:t>
      </w:r>
      <w:r>
        <w:rPr>
          <w:rStyle w:val="C3"/>
          <w:rFonts w:ascii="Microsoft YaHei UI" w:hAnsi="Microsoft YaHei UI"/>
          <w:sz w:val="32"/>
        </w:rPr>
        <w:t>确需拆除的，由拆除单位负责补建或者交纳补建费。</w:t>
      </w:r>
    </w:p>
    <w:p>
      <w:pPr>
        <w:pStyle w:val="P1"/>
        <w:spacing w:lineRule="exact" w:line="578"/>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平时严禁鸣放防空警报。因试鸣、进行防空演练等，需要鸣放防空警报的，应经县级以上人民政府批准，并在鸣放警报</w:t>
      </w:r>
      <w:r>
        <w:rPr>
          <w:rStyle w:val="C3"/>
          <w:rFonts w:ascii="仿宋_GB2312" w:hAnsi="仿宋_GB2312"/>
          <w:sz w:val="32"/>
        </w:rPr>
        <w:t>5</w:t>
      </w:r>
      <w:r>
        <w:rPr>
          <w:rStyle w:val="C3"/>
          <w:rFonts w:ascii="Microsoft YaHei UI" w:hAnsi="Microsoft YaHei UI"/>
          <w:sz w:val="32"/>
        </w:rPr>
        <w:t>日前发布公告。</w:t>
      </w:r>
    </w:p>
    <w:p>
      <w:pPr>
        <w:pStyle w:val="P1"/>
        <w:spacing w:lineRule="exact" w:line="578"/>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人民防空通信、警报设备设施，平时应为抢险救灾、突发事件服务。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疏散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城市人民防空疏散计划，由县级以上人民政府组织人民防空、计划、经贸、公安、民政、交通等部门会同同级军事机关制定和修订。</w:t>
      </w:r>
    </w:p>
    <w:p>
      <w:pPr>
        <w:pStyle w:val="P1"/>
        <w:spacing w:lineRule="exact" w:line="578"/>
        <w:ind w:firstLine="640"/>
        <w:rPr>
          <w:rStyle w:val="C3"/>
          <w:rFonts w:ascii="仿宋_GB2312" w:hAnsi="仿宋_GB2312"/>
          <w:sz w:val="32"/>
        </w:rPr>
      </w:pPr>
      <w:r>
        <w:rPr>
          <w:rStyle w:val="C3"/>
          <w:rFonts w:ascii="Microsoft YaHei UI" w:hAnsi="Microsoft YaHei UI"/>
          <w:sz w:val="32"/>
        </w:rPr>
        <w:t>有关部门应按照疏散计划的统一要求，制定本部门的实施计划。对重要的生产、科研等设备和容易造成空袭次生灾害的物资，有关部门应在人民防空行政主管部门的统一指导下制定疏散计划。</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城市人民防空疏散，根据国家发布的命令，由县级以上人民政府依据人民防空疏散计划统一领导，组织有关部门具体实施。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有关主管部门应根据战时要求，为实施人民防空疏散提供通信、交通运输、空情、治安、生活物资、医疗卫生等方面的保障。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县级以上人民政府应结合经济建设有计划地进行疏散地区建设，为战时城市疏散人口安置和物资供应做好必要的准备。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群众防空组织</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县级以上人民政府应根据人民防空法第四十二条的规定，组织有关部门建立群众防空组织，平时担负抢险救灾任务，战时消除空袭后果。</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县级以上人民防空行政主管部门应根据国家人民防空行政主管部门制定的群众防空组织训练大纲，制定本行政区域的训练计划，并组织实施。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群众防空组织脱产训练期间的工资、奖金和福利，按在岗人员同等对待。</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群众防空组织训练所需的防核、防化学、防生物武器等专用设备、器材，由县级以上人民防空行政主管部门提供，所需其他装备、器材和经费由组建单位提供</w:t>
      </w:r>
      <w:r>
        <w:rPr>
          <w:rStyle w:val="C3"/>
          <w:rFonts w:ascii="仿宋_GB2312" w:hAnsi="仿宋_GB2312"/>
          <w:sz w:val="32"/>
        </w:rPr>
        <w:t>;</w:t>
      </w:r>
      <w:r>
        <w:rPr>
          <w:rStyle w:val="C3"/>
          <w:rFonts w:ascii="Microsoft YaHei UI" w:hAnsi="Microsoft YaHei UI"/>
          <w:sz w:val="32"/>
        </w:rPr>
        <w:t>综合演练费用由人民防空行政主管部门和组建单位共同负担。</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人民防空教育</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人民防空教育应纳入国防教育体系。</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人民防空行政主管部门对人民防空教育应加强指导和检查。</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省人民防空行政主管部门按照国家人民防空教育计划和教育内容，统一选编教材。</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在校学生的人民防空教育，由教育行政主管部门纳入学校教学计划，并组织实施。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城市居民、村民（不含在校学生）的人民防空教育，是机关、团体、企业事业单位职工的，由所在单位组织实施，并纳入单位的职工教育计划</w:t>
      </w:r>
      <w:r>
        <w:rPr>
          <w:rStyle w:val="C3"/>
          <w:rFonts w:ascii="仿宋_GB2312" w:hAnsi="仿宋_GB2312"/>
          <w:sz w:val="32"/>
        </w:rPr>
        <w:t>;</w:t>
      </w:r>
      <w:r>
        <w:rPr>
          <w:rStyle w:val="C3"/>
          <w:rFonts w:ascii="Microsoft YaHei UI" w:hAnsi="Microsoft YaHei UI"/>
          <w:sz w:val="32"/>
        </w:rPr>
        <w:t>没有工作单位的，由城乡基层人民政府组织实施。</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新闻出版、广播电视、文化、司法行政等有关部门，应将人民防空教育纳入本部门工作计划，协助人民防空行政主管部门开展人民防空宣传教育。</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奖励与处罚</w:t>
      </w:r>
    </w:p>
    <w:p>
      <w:pPr>
        <w:pStyle w:val="P1"/>
        <w:spacing w:lineRule="exact" w:line="578"/>
        <w:ind w:firstLine="643"/>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有下列情形之一的单位和个人，由县级以上人民政府和军事机关给予表彰、奖励</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（一）新建人民防空工程被评为优良工程的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（二）在人民防空科研设计中有重大发明创造或革新成果的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（三）维护管理人民防空设备设施成绩突出的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（四）保护人民防空设施成绩显著的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（五）开发利用人民防空设施成绩显著的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（六）在群众防空组织训练、人民防空宣传教育和其他有关方面成绩显著的。</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违反本办法第十七条规定，不按国家和省有关规定履行结合民用建筑修建防空地下室的法律义务的，由县级以上人民防空行政主管部门给予警告，责令限期改正，可以并处应建防空地下室工程造价</w:t>
      </w:r>
      <w:r>
        <w:rPr>
          <w:rStyle w:val="C3"/>
          <w:rFonts w:ascii="仿宋_GB2312" w:hAnsi="仿宋_GB2312"/>
          <w:sz w:val="32"/>
        </w:rPr>
        <w:t>5%</w:t>
      </w:r>
      <w:r>
        <w:rPr>
          <w:rStyle w:val="C3"/>
          <w:rFonts w:ascii="Microsoft YaHei UI" w:hAnsi="Microsoft YaHei UI"/>
          <w:sz w:val="32"/>
        </w:rPr>
        <w:t>、总额不超过</w:t>
      </w:r>
      <w:r>
        <w:rPr>
          <w:rStyle w:val="C3"/>
          <w:rFonts w:ascii="仿宋_GB2312" w:hAnsi="仿宋_GB2312"/>
          <w:sz w:val="32"/>
        </w:rPr>
        <w:t>10</w:t>
      </w:r>
      <w:r>
        <w:rPr>
          <w:rStyle w:val="C3"/>
          <w:rFonts w:ascii="Microsoft YaHei UI" w:hAnsi="Microsoft YaHei UI"/>
          <w:sz w:val="32"/>
        </w:rPr>
        <w:t>万元的罚款。</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违反本办法第二十条规定，危害人民防空工程安全和使用效能的，由县级以上人民防空行政主管部门根据人民防空法第四十九条的规定追究其法律责任。</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人民防空行政主管部门和其他有关机关的工作人员，在人民防空工作中玩忽职守、滥用职权、徇私舞弊或有其他违法、失职行为的，给予行政处分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附则</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本办法具体应用中的问题，由省人民政府负责解释。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2016-12-27T11:36:00Z</dcterms:created>
  <cp:lastModifiedBy>f1TZOF\f1TZOF-</cp:lastModifiedBy>
  <cp:lastPrinted>2017-02-24T05:38:00Z</cp:lastPrinted>
  <dcterms:modified xsi:type="dcterms:W3CDTF">2024-08-28T01:36:01Z</dcterms:modified>
  <cp:revision>11</cp:revision>
  <dc:title>山西省实施《中华人民共和国人民防空法》办法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