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000B9" Type="http://schemas.openxmlformats.org/officeDocument/2006/relationships/officeDocument" Target="/word/document.xml" /><Relationship Id="coreR1E000B9" Type="http://schemas.openxmlformats.org/package/2006/relationships/metadata/core-properties" Target="/docProps/core.xml" /><Relationship Id="customR1E000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6"/>
        <w:jc w:val="center"/>
        <w:rPr>
          <w:rStyle w:val="C3"/>
          <w:rFonts w:ascii="仿宋_GB2312" w:hAnsi="仿宋_GB2312"/>
          <w:sz w:val="32"/>
        </w:rPr>
      </w:pPr>
    </w:p>
    <w:p>
      <w:pPr>
        <w:pStyle w:val="P1"/>
        <w:widowControl w:val="0"/>
        <w:spacing w:lineRule="exact" w:line="576"/>
        <w:jc w:val="center"/>
        <w:rPr>
          <w:rStyle w:val="C3"/>
          <w:rFonts w:ascii="仿宋_GB2312" w:hAnsi="仿宋_GB2312"/>
          <w:sz w:val="32"/>
        </w:rPr>
      </w:pPr>
    </w:p>
    <w:p>
      <w:pPr>
        <w:pStyle w:val="P1"/>
        <w:widowControl w:val="0"/>
        <w:spacing w:lineRule="exact" w:line="576"/>
        <w:jc w:val="center"/>
        <w:rPr>
          <w:rStyle w:val="C3"/>
          <w:rFonts w:ascii="宋体" w:hAnsi="宋体"/>
          <w:sz w:val="44"/>
        </w:rPr>
      </w:pPr>
      <w:r>
        <w:rPr>
          <w:rStyle w:val="C3"/>
          <w:rFonts w:ascii="宋体" w:hAnsi="宋体"/>
          <w:sz w:val="44"/>
        </w:rPr>
        <w:t>辽源市室外公共体育设施管理条例</w:t>
      </w:r>
    </w:p>
    <w:p>
      <w:pPr>
        <w:pStyle w:val="P1"/>
        <w:widowControl w:val="0"/>
        <w:spacing w:lineRule="exact" w:line="576"/>
        <w:rPr>
          <w:rStyle w:val="C3"/>
          <w:rFonts w:ascii="方正小标宋简体" w:hAnsi="方正小标宋简体"/>
          <w:sz w:val="44"/>
        </w:rPr>
      </w:pPr>
    </w:p>
    <w:p>
      <w:pPr>
        <w:pStyle w:val="P1"/>
        <w:widowControl w:val="0"/>
        <w:spacing w:lineRule="exact" w:line="576"/>
        <w:ind w:left="420" w:right="420"/>
        <w:rPr>
          <w:rStyle w:val="C3"/>
          <w:rFonts w:ascii="楷体_GB2312" w:hAnsi="楷体_GB2312"/>
          <w:color w:val="auto"/>
          <w:sz w:val="32"/>
          <w:shd w:val="clear" w:color="auto" w:fill="FFFFFF"/>
        </w:rPr>
      </w:pPr>
      <w:r>
        <w:rPr>
          <w:rStyle w:val="C3"/>
          <w:rFonts w:ascii="Microsoft YaHei UI" w:hAnsi="Microsoft YaHei UI"/>
          <w:color w:val="auto"/>
          <w:sz w:val="32"/>
        </w:rPr>
        <w:t>（</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日辽源市第九届人民代表大会常务委员会第五次会议通过</w:t>
      </w:r>
      <w:r>
        <w:rPr>
          <w:rStyle w:val="C3"/>
          <w:rFonts w:ascii="楷体_GB2312" w:hAnsi="楷体_GB2312"/>
          <w:color w:val="auto"/>
          <w:sz w:val="32"/>
        </w:rPr>
        <w:t xml:space="preserve">  </w:t>
      </w:r>
      <w:r>
        <w:rPr>
          <w:rStyle w:val="C3"/>
          <w:rFonts w:ascii="楷体_GB2312" w:hAnsi="楷体_GB2312"/>
          <w:color w:val="auto"/>
          <w:sz w:val="32"/>
          <w:shd w:val="clear" w:color="auto" w:fill="FFFFFF"/>
        </w:rPr>
        <w:t>2023</w:t>
      </w:r>
      <w:r>
        <w:rPr>
          <w:rStyle w:val="C3"/>
          <w:rFonts w:ascii="Microsoft YaHei UI" w:hAnsi="Microsoft YaHei UI"/>
          <w:color w:val="auto"/>
          <w:sz w:val="32"/>
          <w:shd w:val="clear" w:color="auto" w:fill="FFFFFF"/>
        </w:rPr>
        <w:t>年</w:t>
      </w:r>
      <w:r>
        <w:rPr>
          <w:rStyle w:val="C3"/>
          <w:rFonts w:ascii="楷体_GB2312" w:hAnsi="楷体_GB2312"/>
          <w:color w:val="auto"/>
          <w:sz w:val="32"/>
          <w:shd w:val="clear" w:color="auto" w:fill="FFFFFF"/>
        </w:rPr>
        <w:t>4</w:t>
      </w:r>
      <w:r>
        <w:rPr>
          <w:rStyle w:val="C3"/>
          <w:rFonts w:ascii="Microsoft YaHei UI" w:hAnsi="Microsoft YaHei UI"/>
          <w:color w:val="auto"/>
          <w:sz w:val="32"/>
          <w:shd w:val="clear" w:color="auto" w:fill="FFFFFF"/>
        </w:rPr>
        <w:t>月</w:t>
      </w:r>
      <w:r>
        <w:rPr>
          <w:rStyle w:val="C3"/>
          <w:rFonts w:ascii="楷体_GB2312" w:hAnsi="楷体_GB2312"/>
          <w:color w:val="auto"/>
          <w:sz w:val="32"/>
          <w:shd w:val="clear" w:color="auto" w:fill="FFFFFF"/>
        </w:rPr>
        <w:t>4</w:t>
      </w:r>
      <w:r>
        <w:rPr>
          <w:rStyle w:val="C3"/>
          <w:rFonts w:ascii="Microsoft YaHei UI" w:hAnsi="Microsoft YaHei UI"/>
          <w:color w:val="auto"/>
          <w:sz w:val="32"/>
          <w:shd w:val="clear" w:color="auto" w:fill="FFFFFF"/>
        </w:rPr>
        <w:t>日吉林省第十四届人民代表大会常务委员会第二次会议批准</w:t>
      </w:r>
      <w:r>
        <w:rPr>
          <w:rStyle w:val="C3"/>
          <w:rFonts w:ascii="Microsoft YaHei UI" w:hAnsi="Microsoft YaHei UI"/>
          <w:color w:val="auto"/>
          <w:sz w:val="32"/>
        </w:rPr>
        <w:t>）</w:t>
      </w:r>
    </w:p>
    <w:p>
      <w:pPr>
        <w:pStyle w:val="P1"/>
        <w:widowControl w:val="0"/>
        <w:spacing w:lineRule="exact" w:line="576"/>
        <w:jc w:val="center"/>
        <w:rPr>
          <w:rStyle w:val="C3"/>
          <w:rFonts w:ascii="楷体_GB2312" w:hAnsi="楷体_GB2312"/>
          <w:sz w:val="32"/>
        </w:rPr>
      </w:pPr>
    </w:p>
    <w:p>
      <w:pPr>
        <w:pStyle w:val="P1"/>
        <w:spacing w:lineRule="exact" w:line="576" w:before="156" w:after="15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为了加强室外公共体育设施管理，保障城乡居民开展体育健身活动，根据《中华人民共和国体育法》《公共文化体育设施条例》《吉林省全民健身条例》等法律法规规定，结合本市实际，制定本条例。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本市行政区域内建设于公园、广场、景观绿地和居民住宅区域的公共体育场地、器材和设备的管理，适用本条例。</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室外公共体育设施管理应当坚持科学规划、服务群众、建管并举、保障安全的原则。</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市、县（区）人民政府应当加强对室外公共体育设施管理工作的领导，组织、协调室外公共体育设施规划、建设等工作。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市、县（区）人民政府体育行政主管部门是本行政区域内室外公共体育设施管理工作的主管部门，负责本行政区域内室外公共体育设施的监督管理工作。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市、县（区）人民政府其他有关部门、乡镇人民政府、城市街道办事处以及村民委员会在各自的职责范围内，配合体育行政主管部门做好室外公共体育设施监督管理的相关工作。</w:t>
      </w:r>
    </w:p>
    <w:p>
      <w:pPr>
        <w:pStyle w:val="P1"/>
        <w:spacing w:lineRule="exact" w:line="576" w:before="156" w:after="156"/>
        <w:jc w:val="center"/>
        <w:rPr>
          <w:rStyle w:val="C3"/>
          <w:rFonts w:ascii="黑体" w:hAnsi="黑体"/>
          <w:sz w:val="32"/>
        </w:rPr>
      </w:pPr>
      <w:r>
        <w:rPr>
          <w:rStyle w:val="C3"/>
          <w:rFonts w:ascii="黑体" w:hAnsi="黑体"/>
          <w:sz w:val="32"/>
        </w:rPr>
        <w:t xml:space="preserve">第二章  规划和建设</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室外公共体育设施应当按照全民健身实施计划进行建设。</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室外公共体育设施的数量、种类、规模以及布局，应当结合环境条件、人口结构和体育健身需求，统筹兼顾，优化配置，并符合国土空间规划的要求。</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新建、扩建、改建的公园、广场、景观绿地等城市建设项目以及居民住宅建设项目，应当按照规定配套建设相应的室外公共体育设施。</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建设工程项目中配套建设的室外公共体育设施应当与主体工程同时设计、同时施工、同时投入使用。</w:t>
      </w:r>
    </w:p>
    <w:p>
      <w:pPr>
        <w:pStyle w:val="P1"/>
        <w:spacing w:lineRule="exact" w:line="576"/>
        <w:ind w:firstLine="640"/>
        <w:rPr>
          <w:rStyle w:val="C3"/>
          <w:rFonts w:ascii="仿宋_GB2312" w:hAnsi="仿宋_GB2312"/>
          <w:sz w:val="32"/>
        </w:rPr>
      </w:pPr>
      <w:r>
        <w:rPr>
          <w:rStyle w:val="C3"/>
          <w:rFonts w:ascii="Microsoft YaHei UI" w:hAnsi="Microsoft YaHei UI"/>
          <w:sz w:val="32"/>
        </w:rPr>
        <w:t>建设工程项目配套建设的室外公共体育设施的规划设计和竣工验收，应当征求市、县（区）体育行政主管部门意见。</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配建和更新的室外公共体育场地设施，应当符合国家无障碍环境建设要求，有效满足老年人、残疾人等特定群体参加体育健身活动。</w:t>
      </w:r>
    </w:p>
    <w:p>
      <w:pPr>
        <w:pStyle w:val="P1"/>
        <w:spacing w:lineRule="exact" w:line="576"/>
        <w:ind w:firstLine="640"/>
        <w:rPr>
          <w:rStyle w:val="C3"/>
          <w:rFonts w:ascii="仿宋_GB2312" w:hAnsi="仿宋_GB2312"/>
          <w:sz w:val="32"/>
        </w:rPr>
      </w:pPr>
      <w:r>
        <w:rPr>
          <w:rStyle w:val="C3"/>
          <w:rFonts w:ascii="Microsoft YaHei UI" w:hAnsi="Microsoft YaHei UI"/>
          <w:sz w:val="32"/>
        </w:rPr>
        <w:t>室外体育器材配备应当符合国家强制性标准，安装应当符合国家技术规范。</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村镇和城市未进行改造的老旧居民住宅区域未配建体育健身器材或者已配备体育健身器材不符合标准的，应当自行配建或者更换。</w:t>
      </w:r>
    </w:p>
    <w:p>
      <w:pPr>
        <w:pStyle w:val="P1"/>
        <w:spacing w:lineRule="exact" w:line="576"/>
        <w:ind w:firstLine="640"/>
        <w:rPr>
          <w:rStyle w:val="C3"/>
          <w:rFonts w:ascii="仿宋_GB2312" w:hAnsi="仿宋_GB2312"/>
          <w:sz w:val="32"/>
        </w:rPr>
      </w:pPr>
      <w:r>
        <w:rPr>
          <w:rStyle w:val="C3"/>
          <w:rFonts w:ascii="Microsoft YaHei UI" w:hAnsi="Microsoft YaHei UI"/>
          <w:sz w:val="32"/>
        </w:rPr>
        <w:t>不具备配建或者更换能力的，可以由村民委员会或者乡镇人民政府、街道办事处向所在地县（区）体育行政主管部门提出申请，符合配备条件的，由体育行政主管部门有计划地配备体育健身器材。</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市、县（区）体育行政主管部门应当通过本级政府财政预算、上级专项投入、社会力量捐资等多渠道筹措资金来源，统筹谋划配备室外体育健身场地和器材。</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建设工程项目配套建设或者体育行政主管部门配建的室外公共体育设施在工程竣工验收后，管理单位应当将设施、器材的名称、地址、服务项目、质检合格证明等相关数据信息向县或者市体育行政主管部门备案。</w:t>
      </w:r>
    </w:p>
    <w:p>
      <w:pPr>
        <w:pStyle w:val="P1"/>
        <w:spacing w:lineRule="exact" w:line="576" w:before="156" w:after="156"/>
        <w:jc w:val="center"/>
        <w:rPr>
          <w:rStyle w:val="C3"/>
          <w:rFonts w:ascii="黑体" w:hAnsi="黑体"/>
          <w:sz w:val="32"/>
        </w:rPr>
      </w:pPr>
      <w:r>
        <w:rPr>
          <w:rStyle w:val="C3"/>
          <w:rFonts w:ascii="黑体" w:hAnsi="黑体"/>
          <w:sz w:val="32"/>
        </w:rPr>
        <w:t xml:space="preserve">第三章  管理和使用</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园、广场、景观绿地等城市市政场所的管理单位是该场所室外公共体育设施的管理单位；乡镇人民政府、街道办事处、村民委员会是自建、体育行政主管部门配建的室外公共体育设施的管理单位；物业服务企业或者其他管理人是住宅小区范围内室外公共体育设施的管理单位。</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设施管理单位应当建立健全日常管理和维护制度，明确室外公共体育设施管理和维护责任人，公布联系方式。</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设施管理单位应当在室外公共体育设施醒目位置设置警示标志，标明设施的使用方法和注意事项等设施信息。</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设施管理单位应当加强室外公共体育设施的日常管理工作，定期开展巡查，对损坏设施的行为及时予以劝阻和纠正。</w:t>
      </w:r>
    </w:p>
    <w:p>
      <w:pPr>
        <w:pStyle w:val="P1"/>
        <w:spacing w:lineRule="exact" w:line="576"/>
        <w:ind w:firstLine="640"/>
        <w:rPr>
          <w:rStyle w:val="C3"/>
          <w:rFonts w:ascii="仿宋_GB2312" w:hAnsi="仿宋_GB2312"/>
          <w:sz w:val="32"/>
        </w:rPr>
      </w:pPr>
      <w:r>
        <w:rPr>
          <w:rStyle w:val="C3"/>
          <w:rFonts w:ascii="Microsoft YaHei UI" w:hAnsi="Microsoft YaHei UI"/>
          <w:sz w:val="32"/>
        </w:rPr>
        <w:t>对存在安全隐患的室外公共体育设施应当设置警示标识，及时进行维护，保证设施完好无损和正常使用。</w:t>
      </w:r>
    </w:p>
    <w:p>
      <w:pPr>
        <w:pStyle w:val="P1"/>
        <w:spacing w:lineRule="exact" w:line="576"/>
        <w:ind w:firstLine="640"/>
        <w:rPr>
          <w:rStyle w:val="C3"/>
          <w:rFonts w:ascii="仿宋_GB2312" w:hAnsi="仿宋_GB2312"/>
          <w:sz w:val="32"/>
        </w:rPr>
      </w:pPr>
      <w:r>
        <w:rPr>
          <w:rStyle w:val="C3"/>
          <w:rFonts w:ascii="Microsoft YaHei UI" w:hAnsi="Microsoft YaHei UI"/>
          <w:sz w:val="32"/>
        </w:rPr>
        <w:t>对超出使用年限或者达到报废程度不能正常使用的室外公共体育设施应当停止使用，组织报废拆除，并按照规定进行更换。</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任何单位和个人不得擅自改变室外公共体育设施的功能和用途，不得侵占体育场地、损坏体育器材、设施。因城乡建设需要占用或者拆除的按有关法律法规规定执行。</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使用室外公共体育设施进行体育健身活动，应当了解和掌握体育器材的使用方法，正确使用体育器材，结合自身年龄和身体体征，合理选用适合自身特征的体育器材进行体育健身活动。</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使用室外公共体育设施进行体育健身活动应当注意安全，以免造成自身伤害，或者给他人造成人身财产损害。</w:t>
      </w:r>
    </w:p>
    <w:p>
      <w:pPr>
        <w:pStyle w:val="P1"/>
        <w:spacing w:lineRule="exact" w:line="576" w:before="156" w:after="156"/>
        <w:jc w:val="center"/>
        <w:rPr>
          <w:rStyle w:val="C3"/>
          <w:rFonts w:ascii="黑体" w:hAnsi="黑体"/>
          <w:sz w:val="32"/>
        </w:rPr>
      </w:pPr>
      <w:r>
        <w:rPr>
          <w:rStyle w:val="C3"/>
          <w:rFonts w:ascii="黑体" w:hAnsi="黑体"/>
          <w:sz w:val="32"/>
        </w:rPr>
        <w:t xml:space="preserve">第四章  法律责任</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违反本条例规定，未按城市规划要求配套建设室外公共体育设施的新建项目，由城市规划主管部门责令其限期补建；逾期未补建的，依据有关法律法规规定处理。</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擅自改变室外公共体育设施的功能和用途，侵占体育场地、拆除或者损坏体育器材、设施，妨碍体育设施正常使用的，由体育行政主管部门予以制止，责令改正；侵占、破坏室外公共体育设施的，并可处实际损失五倍以下的罚款。</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设施管理单位有下列行为之一的，由体育行政主管部门责令限期改正；逾期不改正的，依据有关法律法规规定予以处罚：</w:t>
      </w:r>
    </w:p>
    <w:p>
      <w:pPr>
        <w:pStyle w:val="P1"/>
        <w:spacing w:lineRule="exact" w:line="576"/>
        <w:ind w:firstLine="640"/>
        <w:rPr>
          <w:rStyle w:val="C3"/>
          <w:rFonts w:ascii="仿宋_GB2312" w:hAnsi="仿宋_GB2312"/>
          <w:sz w:val="32"/>
        </w:rPr>
      </w:pPr>
      <w:r>
        <w:rPr>
          <w:rStyle w:val="C3"/>
          <w:rFonts w:ascii="Microsoft YaHei UI" w:hAnsi="Microsoft YaHei UI"/>
          <w:sz w:val="32"/>
        </w:rPr>
        <w:t>（一）未按规定建立健全室外公共体育设施使用、维护、安全、卫生等管理制度的；</w:t>
      </w:r>
    </w:p>
    <w:p>
      <w:pPr>
        <w:pStyle w:val="P1"/>
        <w:spacing w:lineRule="exact" w:line="576"/>
        <w:ind w:firstLine="640"/>
        <w:rPr>
          <w:rStyle w:val="C3"/>
          <w:rFonts w:ascii="仿宋_GB2312" w:hAnsi="仿宋_GB2312"/>
          <w:sz w:val="32"/>
        </w:rPr>
      </w:pPr>
      <w:r>
        <w:rPr>
          <w:rStyle w:val="C3"/>
          <w:rFonts w:ascii="Microsoft YaHei UI" w:hAnsi="Microsoft YaHei UI"/>
          <w:sz w:val="32"/>
        </w:rPr>
        <w:t>（二）未配备管理、维护人员的；</w:t>
      </w:r>
    </w:p>
    <w:p>
      <w:pPr>
        <w:pStyle w:val="P1"/>
        <w:spacing w:lineRule="exact" w:line="576"/>
        <w:ind w:firstLine="640"/>
        <w:rPr>
          <w:rStyle w:val="C3"/>
          <w:rFonts w:ascii="仿宋_GB2312" w:hAnsi="仿宋_GB2312"/>
          <w:sz w:val="32"/>
        </w:rPr>
      </w:pPr>
      <w:r>
        <w:rPr>
          <w:rStyle w:val="C3"/>
          <w:rFonts w:ascii="Microsoft YaHei UI" w:hAnsi="Microsoft YaHei UI"/>
          <w:sz w:val="32"/>
        </w:rPr>
        <w:t>（三）室外公共体育设施不能正常使用，未设立警示标识并组织维护的；</w:t>
      </w:r>
    </w:p>
    <w:p>
      <w:pPr>
        <w:pStyle w:val="P1"/>
        <w:spacing w:lineRule="exact" w:line="576"/>
        <w:ind w:firstLine="640"/>
        <w:rPr>
          <w:rStyle w:val="C3"/>
          <w:rFonts w:ascii="仿宋_GB2312" w:hAnsi="仿宋_GB2312"/>
          <w:sz w:val="32"/>
        </w:rPr>
      </w:pPr>
      <w:r>
        <w:rPr>
          <w:rStyle w:val="C3"/>
          <w:rFonts w:ascii="Microsoft YaHei UI" w:hAnsi="Microsoft YaHei UI"/>
          <w:sz w:val="32"/>
        </w:rPr>
        <w:t>（四）室外公共体育设施超出使用年限不及时报废拆除并更换的。</w:t>
      </w:r>
    </w:p>
    <w:p>
      <w:pPr>
        <w:pStyle w:val="P1"/>
        <w:spacing w:lineRule="exact" w:line="576" w:before="156" w:after="156"/>
        <w:jc w:val="center"/>
        <w:rPr>
          <w:rStyle w:val="C3"/>
          <w:rFonts w:ascii="黑体" w:hAnsi="黑体"/>
          <w:sz w:val="32"/>
        </w:rPr>
      </w:pPr>
      <w:r>
        <w:rPr>
          <w:rStyle w:val="C3"/>
          <w:rFonts w:ascii="黑体" w:hAnsi="黑体"/>
          <w:sz w:val="32"/>
        </w:rPr>
        <w:t xml:space="preserve">第五章  附则</w:t>
      </w:r>
    </w:p>
    <w:p>
      <w:pPr>
        <w:pStyle w:val="P1"/>
        <w:ind w:firstLine="640"/>
        <w:rPr>
          <w:rStyle w:val="C3"/>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871" w:header="851" w:footer="1389"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spacing w:lineRule="auto" w:line="240"/>
      <w:ind w:right="21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spacing w:lineRule="auto" w:line="240"/>
      <w:ind w:left="210"/>
      <w:rPr>
        <w:rStyle w:val="C5"/>
        <w:rFonts w:ascii="宋体" w:hAnsi="宋体"/>
        <w:color w:val="auto"/>
        <w:sz w:val="28"/>
      </w:rPr>
    </w:pPr>
    <w:r>
      <w:fldChar w:fldCharType="begin"/>
    </w:r>
    <w:r>
      <w:rPr>
        <w:rStyle w:val="C5"/>
        <w:rFonts w:ascii="宋体" w:hAnsi="宋体"/>
        <w:color w:val="auto"/>
        <w:sz w:val="28"/>
      </w:rPr>
      <w:instrText xml:space="preserve">PAGE  </w:instrText>
    </w:r>
    <w:r>
      <w:rPr>
        <w:rStyle w:val="C5"/>
        <w:rFonts w:ascii="宋体" w:hAnsi="宋体"/>
        <w:color w:val="auto"/>
        <w:sz w:val="28"/>
      </w:rPr>
      <w:fldChar w:fldCharType="separate"/>
    </w:r>
    <w:r>
      <w:rPr>
        <w:rStyle w:val="C5"/>
        <w:rFonts w:ascii="宋体" w:hAnsi="宋体"/>
        <w:color w:val="auto"/>
        <w:sz w:val="28"/>
      </w:rPr>
      <w:t>#</w:t>
    </w:r>
    <w:r>
      <w:rPr>
        <w:rStyle w:val="C5"/>
        <w:rFonts w:ascii="宋体" w:hAnsi="宋体"/>
        <w:color w:val="auto"/>
        <w:sz w:val="28"/>
      </w:rPr>
      <w:fldChar w:fldCharType="end"/>
    </w:r>
  </w:p>
  <w:p>
    <w:pPr>
      <w:pStyle w:val="P5"/>
      <w:ind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ZTA4NzIyN2MxYTlmMzQ1NGE2MjU5NWRkMjhlOGMxYTA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tLeast" w:line="578"/>
      <w:jc w:val="both"/>
    </w:pPr>
    <w:rPr>
      <w:color w:val="000000"/>
      <w:sz w:val="21"/>
      <w:u w:color="000000"/>
    </w:rPr>
  </w:style>
  <w:style w:type="paragraph" w:styleId="P2">
    <w:name w:val="修订"/>
    <w:next w:val="P2"/>
    <w:pPr/>
    <w:rPr>
      <w:color w:val="000000"/>
      <w:sz w:val="21"/>
      <w:u w:color="000000"/>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Char Char Char Char"/>
    <w:basedOn w:val="P1"/>
    <w:next w:val="P7"/>
    <w:pPr>
      <w:widowControl w:val="0"/>
      <w:tabs>
        <w:tab w:val="left" w:pos="420" w:leader="none"/>
      </w:tabs>
      <w:spacing w:lineRule="auto" w:line="240"/>
      <w:ind w:hanging="420" w:left="420"/>
    </w:pPr>
    <w:rPr>
      <w:color w:val="auto"/>
    </w:rPr>
  </w:style>
  <w:style w:type="paragraph" w:styleId="P8">
    <w:name w:val="Char"/>
    <w:basedOn w:val="P1"/>
    <w:next w:val="P8"/>
    <w:pPr>
      <w:spacing w:lineRule="exact" w:line="240" w:after="160"/>
      <w:jc w:val="left"/>
    </w:pPr>
    <w:rPr>
      <w:color w:val="auto"/>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5"/>
    <w:rPr>
      <w:sz w:val="18"/>
    </w:rPr>
  </w:style>
  <w:style w:type="character" w:styleId="C5">
    <w:name w:val="页码"/>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2020-12-14T01:05:00Z</dcterms:created>
  <cp:lastModifiedBy>f1TZOF\f1TZOF-</cp:lastModifiedBy>
  <cp:lastPrinted>2019-08-14T06:22:00Z</cp:lastPrinted>
  <dcterms:modified xsi:type="dcterms:W3CDTF">2024-08-28T01:36:05Z</dcterms:modified>
  <cp:revision>5</cp:revision>
  <dc:title>辽源市人大常委会2017年工作要点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15BC2984B884405CBB461B58113B837C</vt:lpwstr>
  </property>
</Properties>
</file>