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C0CB9C" Type="http://schemas.openxmlformats.org/officeDocument/2006/relationships/officeDocument" Target="/word/document.xml" /><Relationship Id="coreR6FC0CB9C" Type="http://schemas.openxmlformats.org/package/2006/relationships/metadata/core-properties" Target="/docProps/core.xml" /><Relationship Id="customR6FC0CB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太原市促进专利转化办法</w:t>
      </w:r>
    </w:p>
    <w:p>
      <w:pPr>
        <w:pStyle w:val="P1"/>
        <w:spacing w:lineRule="exact" w:line="578"/>
        <w:ind w:firstLine="64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日太原市第十二届人民代表大会常务委员会第二次会议通过　</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日山西省第十届人民代表大会常务委员会第三十三次会议批准）</w:t>
      </w:r>
    </w:p>
    <w:p>
      <w:pPr>
        <w:pStyle w:val="P1"/>
        <w:spacing w:lineRule="exact" w:line="578"/>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为了鼓励发明创造，促进专利转化，推动经济建设和社会发展，根据《中华人民共和国专利法》、《中华人民共和国促进科技成果转化法》等法律、法规的规定，结合本市实际，制定本办法。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在本市行政区域内进行专利转化活动，适用本办法。</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促进专利转化活动应当坚持经济效益、社会效益与保护环境资源并重，按照自愿、互利、公平、诚信的原则，依法或者依照合同的约定享受利益，承担风险。</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市、县（市、区）人民政府应当加强对专利工作的领导，将促进专利转化工作纳入国民经济和社会发展规划及年度计划，保障专利事业经费，协调处理专利转化工作中的重大问题。</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市专利管理部门负责本市行政区域内专利转化工作的管理与监督。</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县（市、区）专利管理部门做好本行政区域内专利转化工作的管理与监督。</w:t>
      </w:r>
    </w:p>
    <w:p>
      <w:pPr>
        <w:pStyle w:val="P1"/>
        <w:spacing w:lineRule="exact" w:line="578"/>
        <w:ind w:firstLine="640"/>
        <w:rPr>
          <w:rStyle w:val="C3"/>
          <w:rFonts w:ascii="仿宋_GB2312" w:hAnsi="仿宋_GB2312"/>
          <w:sz w:val="32"/>
        </w:rPr>
      </w:pPr>
      <w:r>
        <w:rPr>
          <w:rStyle w:val="C3"/>
          <w:rFonts w:ascii="Microsoft YaHei UI" w:hAnsi="Microsoft YaHei UI"/>
          <w:sz w:val="32"/>
        </w:rPr>
        <w:t>发展与改革、经济、科技、财政、商务、公安、教育、农业、工商、海关、国有资产、国土资源、新闻出版、质量监督等部门，按照各自职责，做好专利转化工作。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市、县（市、区）人民政府及其有关部门，应当广泛开展专利宣传教育活动，普及专利知识，提高全社会的专利意识。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鼓励学校开展专利知识教育，支持高等院校开设专利知识课程。</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应当建立和完善专利信息平台，定期发布本市专利目录和重点专利转化项目指南，统筹建设与本行政区域内产业有关的国内外专利文献检索系统、公共阅览室、网上专利技术交易平台和专利预警机制，免费向社会开放。</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市、县（市、区）人民政府应当设立专利专项资金，用于下列事项：</w:t>
      </w:r>
    </w:p>
    <w:p>
      <w:pPr>
        <w:pStyle w:val="P1"/>
        <w:spacing w:lineRule="exact" w:line="578"/>
        <w:ind w:firstLine="640"/>
        <w:rPr>
          <w:rStyle w:val="C3"/>
          <w:rFonts w:ascii="仿宋_GB2312" w:hAnsi="仿宋_GB2312"/>
          <w:sz w:val="32"/>
        </w:rPr>
      </w:pPr>
      <w:r>
        <w:rPr>
          <w:rStyle w:val="C3"/>
          <w:rFonts w:ascii="Microsoft YaHei UI" w:hAnsi="Microsoft YaHei UI"/>
          <w:sz w:val="32"/>
        </w:rPr>
        <w:t>（一）资助专利申请；</w:t>
      </w:r>
    </w:p>
    <w:p>
      <w:pPr>
        <w:pStyle w:val="P1"/>
        <w:spacing w:lineRule="exact" w:line="578"/>
        <w:ind w:firstLine="640"/>
        <w:rPr>
          <w:rStyle w:val="C3"/>
          <w:rFonts w:ascii="仿宋_GB2312" w:hAnsi="仿宋_GB2312"/>
          <w:sz w:val="32"/>
        </w:rPr>
      </w:pPr>
      <w:r>
        <w:rPr>
          <w:rStyle w:val="C3"/>
          <w:rFonts w:ascii="Microsoft YaHei UI" w:hAnsi="Microsoft YaHei UI"/>
          <w:sz w:val="32"/>
        </w:rPr>
        <w:t>（二）支持重点专利转化项目的实施和产业化；</w:t>
      </w:r>
    </w:p>
    <w:p>
      <w:pPr>
        <w:pStyle w:val="P1"/>
        <w:spacing w:lineRule="exact" w:line="578"/>
        <w:ind w:firstLine="640"/>
        <w:rPr>
          <w:rStyle w:val="C3"/>
          <w:rFonts w:ascii="仿宋_GB2312" w:hAnsi="仿宋_GB2312"/>
          <w:sz w:val="32"/>
        </w:rPr>
      </w:pPr>
      <w:r>
        <w:rPr>
          <w:rStyle w:val="C3"/>
          <w:rFonts w:ascii="Microsoft YaHei UI" w:hAnsi="Microsoft YaHei UI"/>
          <w:sz w:val="32"/>
        </w:rPr>
        <w:t>（三）支持国内外科技人员、留学人员带着专利技术到本市创业；</w:t>
      </w:r>
    </w:p>
    <w:p>
      <w:pPr>
        <w:pStyle w:val="P1"/>
        <w:spacing w:lineRule="exact" w:line="578"/>
        <w:ind w:firstLine="640"/>
        <w:rPr>
          <w:rStyle w:val="C3"/>
          <w:rFonts w:ascii="仿宋_GB2312" w:hAnsi="仿宋_GB2312"/>
          <w:sz w:val="32"/>
        </w:rPr>
      </w:pPr>
      <w:r>
        <w:rPr>
          <w:rStyle w:val="C3"/>
          <w:rFonts w:ascii="Microsoft YaHei UI" w:hAnsi="Microsoft YaHei UI"/>
          <w:sz w:val="32"/>
        </w:rPr>
        <w:t>（四）国际间专利交流合作；</w:t>
      </w:r>
    </w:p>
    <w:p>
      <w:pPr>
        <w:pStyle w:val="P1"/>
        <w:spacing w:lineRule="exact" w:line="578"/>
        <w:ind w:firstLine="640"/>
        <w:rPr>
          <w:rStyle w:val="C3"/>
          <w:rFonts w:ascii="仿宋_GB2312" w:hAnsi="仿宋_GB2312"/>
          <w:sz w:val="32"/>
        </w:rPr>
      </w:pPr>
      <w:r>
        <w:rPr>
          <w:rStyle w:val="C3"/>
          <w:rFonts w:ascii="Microsoft YaHei UI" w:hAnsi="Microsoft YaHei UI"/>
          <w:sz w:val="32"/>
        </w:rPr>
        <w:t>（五）奖励实施专利转化取得重大经济、社会效益和在促进专利转化工作中做出突出贡献的单位和个人；</w:t>
      </w:r>
    </w:p>
    <w:p>
      <w:pPr>
        <w:pStyle w:val="P1"/>
        <w:spacing w:lineRule="exact" w:line="578"/>
        <w:ind w:firstLine="640"/>
        <w:rPr>
          <w:rStyle w:val="C3"/>
          <w:rFonts w:ascii="仿宋_GB2312" w:hAnsi="仿宋_GB2312"/>
          <w:sz w:val="32"/>
        </w:rPr>
      </w:pPr>
      <w:r>
        <w:rPr>
          <w:rStyle w:val="C3"/>
          <w:rFonts w:ascii="Microsoft YaHei UI" w:hAnsi="Microsoft YaHei UI"/>
          <w:sz w:val="32"/>
        </w:rPr>
        <w:t>（六）专利转化工作的宣传和专利人才培训。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专利专项资金专款专用，不得挪作他用。专利专项资金的具体使用和管理办法由市人民政府制定。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市人民政府应当在太原科技奖中设立专利转化奖项目。</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市、县（市、区）人民政府在扶持生产、研发和技术改造项目时，同等条件下应当优先扶持在本市实施转化的专利技术项目。</w:t>
      </w:r>
    </w:p>
    <w:p>
      <w:pPr>
        <w:pStyle w:val="P1"/>
        <w:spacing w:lineRule="exact" w:line="578"/>
        <w:ind w:firstLine="640"/>
        <w:rPr>
          <w:rStyle w:val="C3"/>
          <w:rFonts w:ascii="仿宋_GB2312" w:hAnsi="仿宋_GB2312"/>
          <w:sz w:val="32"/>
        </w:rPr>
      </w:pPr>
      <w:r>
        <w:rPr>
          <w:rStyle w:val="C3"/>
          <w:rFonts w:ascii="Microsoft YaHei UI" w:hAnsi="Microsoft YaHei UI"/>
          <w:sz w:val="32"/>
        </w:rPr>
        <w:t>申请列入本市转化的专利技术项目，单位或者个人应当向政府有关部门提供专利文献检索报告。</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市、县（市、区）人民政府应当优先采购国内企业开发的拥有自主专利权的高新技术装备和产品。</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市、县（市、区）人民政府科技行政部门的科学技术经费，每年应当有一定的比例用于专利转化。专利转化的财政经费，主要用于专利转化的引导资金、贷款贴息和风险投资等。</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市、县（市、区）人民政府有关部门应当定期组织专利中介服务机构向金融机构推荐有市场前景的专利技术项目，引导金融机构对专利技术项目给予信贷支持。</w:t>
      </w:r>
    </w:p>
    <w:p>
      <w:pPr>
        <w:pStyle w:val="P1"/>
        <w:spacing w:lineRule="exact" w:line="578"/>
        <w:ind w:firstLine="640"/>
        <w:rPr>
          <w:rStyle w:val="C3"/>
          <w:rFonts w:ascii="仿宋_GB2312" w:hAnsi="仿宋_GB2312"/>
          <w:sz w:val="32"/>
        </w:rPr>
      </w:pPr>
      <w:r>
        <w:rPr>
          <w:rStyle w:val="C3"/>
          <w:rFonts w:ascii="Microsoft YaHei UI" w:hAnsi="Microsoft YaHei UI"/>
          <w:sz w:val="32"/>
        </w:rPr>
        <w:t>鼓励金融机构开展专利质押贷款业务。</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企业应当制定和实施专利战略，明确专利工作目标，在专利转化中发挥主体作用。</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鼓励企业及其他组织增加研究开发和技术创新的投入，其研究开发费用按照国家规定计入成本，并享受相应的优惠政策。</w:t>
      </w:r>
    </w:p>
    <w:p>
      <w:pPr>
        <w:pStyle w:val="P1"/>
        <w:spacing w:lineRule="exact" w:line="578"/>
        <w:ind w:firstLine="640"/>
        <w:rPr>
          <w:rStyle w:val="C3"/>
          <w:rFonts w:ascii="仿宋_GB2312" w:hAnsi="仿宋_GB2312"/>
          <w:sz w:val="32"/>
        </w:rPr>
      </w:pPr>
      <w:r>
        <w:rPr>
          <w:rStyle w:val="C3"/>
          <w:rFonts w:ascii="Microsoft YaHei UI" w:hAnsi="Microsoft YaHei UI"/>
          <w:sz w:val="32"/>
        </w:rPr>
        <w:t>企业购买专利的费用，按照规定计入成本。</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鼓励和支持企业引进、转化符合本市产业结构调整要求的国内外专利技术，实现产业化。</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鼓励企业与研究机构、高等院校合作实施专利转化。</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专利权人可采取以专利权作价出资、入股、质押、转让、许可等形式实施其专利。专利权人以专利权作价出资或者入股的，应当进行专利评估，其出资或者入股的比例由当事人在法律、行政法规规定的范围内约定。</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被授予专利权的单位应当依据法律、法规的规定，对职务发明人或者设计人给予奖励。自行实施专利或者许可他人实施专利的，被授予专利权的单位应当对职务发明人或者设计人给予报酬。转让专利权的，应当参照许可他人实施专利的规定，对职务发明人或者设计人给予报酬。</w:t>
      </w:r>
    </w:p>
    <w:p>
      <w:pPr>
        <w:pStyle w:val="P1"/>
        <w:spacing w:lineRule="exact" w:line="578"/>
        <w:ind w:firstLine="640"/>
        <w:rPr>
          <w:rStyle w:val="C3"/>
          <w:rFonts w:ascii="仿宋_GB2312" w:hAnsi="仿宋_GB2312"/>
          <w:sz w:val="32"/>
        </w:rPr>
      </w:pPr>
      <w:r>
        <w:rPr>
          <w:rStyle w:val="C3"/>
          <w:rFonts w:ascii="Microsoft YaHei UI" w:hAnsi="Microsoft YaHei UI"/>
          <w:sz w:val="32"/>
        </w:rPr>
        <w:t>奖励或者报酬可以现金、股份、股权收益或者当事人约定的形式给付。</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以专利产品或者技术参加展览会、推广会、交易会等展会的单位或者个人，应当向展会举办者提供专利证书或者专利许可合同。对未能提供专利证书或者专利许可合同的，举办者可以拒绝其以专利产品、专利技术的名义进场参展。</w:t>
      </w:r>
    </w:p>
    <w:p>
      <w:pPr>
        <w:pStyle w:val="P1"/>
        <w:spacing w:lineRule="exact" w:line="578"/>
        <w:ind w:firstLine="640"/>
        <w:rPr>
          <w:rStyle w:val="C3"/>
          <w:rFonts w:ascii="仿宋_GB2312" w:hAnsi="仿宋_GB2312"/>
          <w:sz w:val="32"/>
        </w:rPr>
      </w:pPr>
      <w:r>
        <w:rPr>
          <w:rStyle w:val="C3"/>
          <w:rFonts w:ascii="Microsoft YaHei UI" w:hAnsi="Microsoft YaHei UI"/>
          <w:sz w:val="32"/>
        </w:rPr>
        <w:t>展会的举办者发现有假冒他人专利或者冒充专利行为的，应当向专利管理部门举报。专利管理部门应当依法处理。</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鼓励发展专利中介服务机构，支持其依法开展下列活动：</w:t>
      </w:r>
    </w:p>
    <w:p>
      <w:pPr>
        <w:pStyle w:val="P1"/>
        <w:spacing w:lineRule="exact" w:line="578"/>
        <w:ind w:firstLine="640"/>
        <w:rPr>
          <w:rStyle w:val="C3"/>
          <w:rFonts w:ascii="仿宋_GB2312" w:hAnsi="仿宋_GB2312"/>
          <w:sz w:val="32"/>
        </w:rPr>
      </w:pPr>
      <w:r>
        <w:rPr>
          <w:rStyle w:val="C3"/>
          <w:rFonts w:ascii="Microsoft YaHei UI" w:hAnsi="Microsoft YaHei UI"/>
          <w:sz w:val="32"/>
        </w:rPr>
        <w:t>（一）进行专利等知识产权战略研究，为政府、企业、事业单位及其他组织提供专利技术信息等服务；</w:t>
      </w:r>
    </w:p>
    <w:p>
      <w:pPr>
        <w:pStyle w:val="P1"/>
        <w:spacing w:lineRule="exact" w:line="578"/>
        <w:ind w:firstLine="640"/>
        <w:rPr>
          <w:rStyle w:val="C3"/>
          <w:rFonts w:ascii="仿宋_GB2312" w:hAnsi="仿宋_GB2312"/>
          <w:sz w:val="32"/>
        </w:rPr>
      </w:pPr>
      <w:r>
        <w:rPr>
          <w:rStyle w:val="C3"/>
          <w:rFonts w:ascii="Microsoft YaHei UI" w:hAnsi="Microsoft YaHei UI"/>
          <w:sz w:val="32"/>
        </w:rPr>
        <w:t>（二）介绍和推荐有市场前景的专利技术项目；</w:t>
      </w:r>
    </w:p>
    <w:p>
      <w:pPr>
        <w:pStyle w:val="P1"/>
        <w:spacing w:lineRule="exact" w:line="578"/>
        <w:ind w:firstLine="640"/>
        <w:rPr>
          <w:rStyle w:val="C3"/>
          <w:rFonts w:ascii="仿宋_GB2312" w:hAnsi="仿宋_GB2312"/>
          <w:sz w:val="32"/>
        </w:rPr>
      </w:pPr>
      <w:r>
        <w:rPr>
          <w:rStyle w:val="C3"/>
          <w:rFonts w:ascii="Microsoft YaHei UI" w:hAnsi="Microsoft YaHei UI"/>
          <w:sz w:val="32"/>
        </w:rPr>
        <w:t>（三）进行专利许可贸易活动；</w:t>
      </w:r>
    </w:p>
    <w:p>
      <w:pPr>
        <w:pStyle w:val="P1"/>
        <w:spacing w:lineRule="exact" w:line="578"/>
        <w:ind w:firstLine="640"/>
        <w:rPr>
          <w:rStyle w:val="C3"/>
          <w:rFonts w:ascii="仿宋_GB2312" w:hAnsi="仿宋_GB2312"/>
          <w:sz w:val="32"/>
        </w:rPr>
      </w:pPr>
      <w:r>
        <w:rPr>
          <w:rStyle w:val="C3"/>
          <w:rFonts w:ascii="Microsoft YaHei UI" w:hAnsi="Microsoft YaHei UI"/>
          <w:sz w:val="32"/>
        </w:rPr>
        <w:t>（四）进行专利评估，提供专利信用担保；</w:t>
      </w:r>
    </w:p>
    <w:p>
      <w:pPr>
        <w:pStyle w:val="P1"/>
        <w:spacing w:lineRule="exact" w:line="578"/>
        <w:ind w:firstLine="640"/>
        <w:rPr>
          <w:rStyle w:val="C3"/>
          <w:rFonts w:ascii="仿宋_GB2312" w:hAnsi="仿宋_GB2312"/>
          <w:sz w:val="32"/>
        </w:rPr>
      </w:pPr>
      <w:r>
        <w:rPr>
          <w:rStyle w:val="C3"/>
          <w:rFonts w:ascii="Microsoft YaHei UI" w:hAnsi="Microsoft YaHei UI"/>
          <w:sz w:val="32"/>
        </w:rPr>
        <w:t>（五）提供专利法律服务；</w:t>
      </w:r>
    </w:p>
    <w:p>
      <w:pPr>
        <w:pStyle w:val="P1"/>
        <w:spacing w:lineRule="exact" w:line="578"/>
        <w:ind w:firstLine="640"/>
        <w:rPr>
          <w:rStyle w:val="C3"/>
          <w:rFonts w:ascii="仿宋_GB2312" w:hAnsi="仿宋_GB2312"/>
          <w:sz w:val="32"/>
        </w:rPr>
      </w:pPr>
      <w:r>
        <w:rPr>
          <w:rStyle w:val="C3"/>
          <w:rFonts w:ascii="Microsoft YaHei UI" w:hAnsi="Microsoft YaHei UI"/>
          <w:sz w:val="32"/>
        </w:rPr>
        <w:t>（六）提供促进专利转化的其他服务。</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在专利转化活动中发生的专利纠纷，由当事人依法申请专利管理部门处理或者依法提起诉讼。</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本办法自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标题 2 Char"/>
    <w:basedOn w:val="C3"/>
    <w:link w:val="P3"/>
    <w:rPr>
      <w:rFonts w:ascii="宋体" w:hAnsi="宋体"/>
      <w:b w:val="1"/>
      <w:sz w:val="36"/>
    </w:rPr>
  </w:style>
  <w:style w:type="character" w:styleId="C6">
    <w:name w:val="页眉 Char"/>
    <w:basedOn w:val="C3"/>
    <w:link w:val="P5"/>
    <w:rPr>
      <w:rFonts w:ascii="Calibri" w:hAnsi="Calibri"/>
      <w:sz w:val="18"/>
    </w:rPr>
  </w:style>
  <w:style w:type="character" w:styleId="C7">
    <w:name w:val="页脚 Char"/>
    <w:basedOn w:val="C3"/>
    <w:link w:val="P6"/>
    <w:rPr>
      <w:rFonts w:ascii="Calibri" w:hAnsi="Calibri"/>
      <w:sz w:val="18"/>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2024-08-28T01:36:07Z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