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E3A0F5" Type="http://schemas.openxmlformats.org/officeDocument/2006/relationships/officeDocument" Target="/word/document.xml" /><Relationship Id="coreR36E3A0F5" Type="http://schemas.openxmlformats.org/package/2006/relationships/metadata/core-properties" Target="/docProps/core.xml" /><Relationship Id="customR36E3A0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0"/>
        <w:spacing w:lineRule="exact" w:line="560"/>
        <w:contextualSpacing w:val="1"/>
        <w:jc w:val="center"/>
        <w:rPr>
          <w:rStyle w:val="C3"/>
          <w:rFonts w:ascii="宋体" w:hAnsi="宋体"/>
          <w:sz w:val="44"/>
        </w:rPr>
      </w:pPr>
      <w:r>
        <w:rPr>
          <w:rStyle w:val="C3"/>
          <w:rFonts w:ascii="宋体" w:hAnsi="宋体"/>
          <w:sz w:val="44"/>
        </w:rPr>
        <w:t>天津市计量管理条例</w:t>
      </w:r>
    </w:p>
    <w:p>
      <w:pPr>
        <w:pStyle w:val="P10"/>
        <w:spacing w:lineRule="exact" w:line="560"/>
        <w:contextualSpacing w:val="1"/>
        <w:rPr>
          <w:rStyle w:val="C3"/>
          <w:rFonts w:ascii="Adobe 仿宋 Std R" w:hAnsi="Adobe 仿宋 Std R"/>
        </w:rPr>
      </w:pPr>
    </w:p>
    <w:p>
      <w:pPr>
        <w:pStyle w:val="P10"/>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日天津市第十二届人民代表大会常务委员会第三十九次会议通过　根据</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日天津市第十四届人民代表大会常务委员会第十六次会议《关于修改〈天津市计量管理条例〉的决定》第一次修正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10"/>
        <w:spacing w:lineRule="exact" w:line="560"/>
        <w:contextualSpacing w:val="1"/>
        <w:jc w:val="center"/>
        <w:rPr>
          <w:rStyle w:val="C3"/>
          <w:rFonts w:ascii="Adobe 仿宋 Std R" w:hAnsi="Adobe 仿宋 Std R"/>
        </w:rPr>
      </w:pPr>
    </w:p>
    <w:p>
      <w:pPr>
        <w:pStyle w:val="P1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0"/>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计量单位的使用</w:t>
      </w:r>
    </w:p>
    <w:p>
      <w:pPr>
        <w:pStyle w:val="P10"/>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计量器具的检定、使用</w:t>
      </w:r>
    </w:p>
    <w:p>
      <w:pPr>
        <w:pStyle w:val="P10"/>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计量器具的制造、修理、销售、进口</w:t>
      </w:r>
    </w:p>
    <w:p>
      <w:pPr>
        <w:pStyle w:val="P10"/>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社会公正计量行（站）的认证</w:t>
      </w:r>
    </w:p>
    <w:p>
      <w:pPr>
        <w:pStyle w:val="P10"/>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企业、事业单位的计量管理</w:t>
      </w:r>
    </w:p>
    <w:p>
      <w:pPr>
        <w:pStyle w:val="P10"/>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商品交易的计量管理</w:t>
      </w:r>
    </w:p>
    <w:p>
      <w:pPr>
        <w:pStyle w:val="P10"/>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计量监督</w:t>
      </w:r>
    </w:p>
    <w:p>
      <w:pPr>
        <w:pStyle w:val="P10"/>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10"/>
        <w:spacing w:lineRule="exact" w:line="560"/>
        <w:ind w:left="632"/>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10"/>
        <w:spacing w:lineRule="exact" w:line="560"/>
        <w:contextualSpacing w:val="1"/>
        <w:rPr>
          <w:rStyle w:val="C3"/>
          <w:rFonts w:ascii="Adobe 仿宋 Std R" w:hAnsi="Adobe 仿宋 Std R"/>
        </w:rPr>
      </w:pPr>
    </w:p>
    <w:p>
      <w:pPr>
        <w:pStyle w:val="P10"/>
        <w:spacing w:lineRule="exact" w:line="560"/>
        <w:contextualSpacing w:val="1"/>
        <w:jc w:val="center"/>
        <w:rPr>
          <w:rStyle w:val="C3"/>
          <w:rFonts w:ascii="黑体" w:hAnsi="黑体"/>
        </w:rPr>
      </w:pPr>
      <w:r>
        <w:rPr>
          <w:rStyle w:val="C3"/>
          <w:rFonts w:ascii="黑体" w:hAnsi="黑体"/>
        </w:rPr>
        <w:t>第一章　总则</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为加强计量监督管理，保障国家计量单位制的统一和量值的准确可靠，维护社会经济秩序，根据国家有关法律、法规的规定，结合本市实际情况，制定本条例。</w:t>
      </w:r>
    </w:p>
    <w:p>
      <w:pPr>
        <w:pStyle w:val="P10"/>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在本市行政区域内从事计量活动的单位和个人，必须遵守本条例。</w:t>
      </w:r>
    </w:p>
    <w:p>
      <w:pPr>
        <w:pStyle w:val="P10"/>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市技术监督行政管理部门主管本市计量监督管理工作。</w:t>
      </w:r>
    </w:p>
    <w:p>
      <w:pPr>
        <w:pStyle w:val="P10"/>
        <w:spacing w:lineRule="exact" w:line="560"/>
        <w:ind w:firstLine="632"/>
        <w:contextualSpacing w:val="1"/>
        <w:rPr>
          <w:rStyle w:val="C3"/>
          <w:rFonts w:ascii="仿宋_GB2312" w:hAnsi="仿宋_GB2312"/>
        </w:rPr>
      </w:pPr>
      <w:r>
        <w:rPr>
          <w:rStyle w:val="C3"/>
          <w:rFonts w:ascii="Microsoft YaHei UI" w:hAnsi="Microsoft YaHei UI"/>
        </w:rPr>
        <w:t>区、县技术监督行政管理部门负责本区、县计量监督管理工作。</w:t>
      </w:r>
    </w:p>
    <w:p>
      <w:pPr>
        <w:pStyle w:val="P10"/>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市和区、县人民政府应当将计量事业纳入本地区国民经济和社会发展计划，鼓励、支持计量科学技术研究，采用先进的计量科学技术和管理方法。</w:t>
      </w:r>
    </w:p>
    <w:p>
      <w:pPr>
        <w:pStyle w:val="P10"/>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市和区、县技术监督行政管理部门根据需要，建立社会公用计量标准器具。</w:t>
      </w:r>
    </w:p>
    <w:p>
      <w:pPr>
        <w:pStyle w:val="P10"/>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市和区、县人民政府或者技术监督行政管理部门，对在计量工作中做出显著成绩的单位和个人给予表彰和奖励。</w:t>
      </w:r>
    </w:p>
    <w:p>
      <w:pPr>
        <w:pStyle w:val="P10"/>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任何单位和个人对计量违法行为有权检举和控告。</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第二章　计量单位的使用</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从事下列活动应当使用国家法定计量单位：</w:t>
      </w:r>
    </w:p>
    <w:p>
      <w:pPr>
        <w:pStyle w:val="P10"/>
        <w:spacing w:lineRule="exact" w:line="560"/>
        <w:ind w:firstLine="632"/>
        <w:contextualSpacing w:val="1"/>
        <w:rPr>
          <w:rStyle w:val="C3"/>
          <w:rFonts w:ascii="仿宋_GB2312" w:hAnsi="仿宋_GB2312"/>
        </w:rPr>
      </w:pPr>
      <w:r>
        <w:rPr>
          <w:rStyle w:val="C3"/>
          <w:rFonts w:ascii="Microsoft YaHei UI" w:hAnsi="Microsoft YaHei UI"/>
        </w:rPr>
        <w:t>（一）制发公文、公报、统计报表；</w:t>
      </w:r>
    </w:p>
    <w:p>
      <w:pPr>
        <w:pStyle w:val="P10"/>
        <w:spacing w:lineRule="exact" w:line="560"/>
        <w:ind w:firstLine="632"/>
        <w:contextualSpacing w:val="1"/>
        <w:rPr>
          <w:rStyle w:val="C3"/>
          <w:rFonts w:ascii="仿宋_GB2312" w:hAnsi="仿宋_GB2312"/>
        </w:rPr>
      </w:pPr>
      <w:r>
        <w:rPr>
          <w:rStyle w:val="C3"/>
          <w:rFonts w:ascii="Microsoft YaHei UI" w:hAnsi="Microsoft YaHei UI"/>
        </w:rPr>
        <w:t>（二）编制广播、电视节目；</w:t>
      </w:r>
    </w:p>
    <w:p>
      <w:pPr>
        <w:pStyle w:val="P10"/>
        <w:spacing w:lineRule="exact" w:line="560"/>
        <w:ind w:firstLine="632"/>
        <w:contextualSpacing w:val="1"/>
        <w:rPr>
          <w:rStyle w:val="C3"/>
          <w:rFonts w:ascii="仿宋_GB2312" w:hAnsi="仿宋_GB2312"/>
        </w:rPr>
      </w:pPr>
      <w:r>
        <w:rPr>
          <w:rStyle w:val="C3"/>
          <w:rFonts w:ascii="Microsoft YaHei UI" w:hAnsi="Microsoft YaHei UI"/>
        </w:rPr>
        <w:t>（三）发表研究报告、学术论文；</w:t>
      </w:r>
    </w:p>
    <w:p>
      <w:pPr>
        <w:pStyle w:val="P10"/>
        <w:spacing w:lineRule="exact" w:line="560"/>
        <w:ind w:firstLine="632"/>
        <w:contextualSpacing w:val="1"/>
        <w:rPr>
          <w:rStyle w:val="C3"/>
          <w:rFonts w:ascii="仿宋_GB2312" w:hAnsi="仿宋_GB2312"/>
        </w:rPr>
      </w:pPr>
      <w:r>
        <w:rPr>
          <w:rStyle w:val="C3"/>
          <w:rFonts w:ascii="Microsoft YaHei UI" w:hAnsi="Microsoft YaHei UI"/>
        </w:rPr>
        <w:t>（四）制作、发布广告；</w:t>
      </w:r>
    </w:p>
    <w:p>
      <w:pPr>
        <w:pStyle w:val="P10"/>
        <w:spacing w:lineRule="exact" w:line="560"/>
        <w:ind w:firstLine="632"/>
        <w:contextualSpacing w:val="1"/>
        <w:rPr>
          <w:rStyle w:val="C3"/>
          <w:rFonts w:ascii="仿宋_GB2312" w:hAnsi="仿宋_GB2312"/>
        </w:rPr>
      </w:pPr>
      <w:r>
        <w:rPr>
          <w:rStyle w:val="C3"/>
          <w:rFonts w:ascii="Microsoft YaHei UI" w:hAnsi="Microsoft YaHei UI"/>
        </w:rPr>
        <w:t>（五）制定标准、技术规范、检定规程；</w:t>
      </w:r>
    </w:p>
    <w:p>
      <w:pPr>
        <w:pStyle w:val="P10"/>
        <w:spacing w:lineRule="exact" w:line="560"/>
        <w:ind w:firstLine="632"/>
        <w:contextualSpacing w:val="1"/>
        <w:rPr>
          <w:rStyle w:val="C3"/>
          <w:rFonts w:ascii="仿宋_GB2312" w:hAnsi="仿宋_GB2312"/>
        </w:rPr>
      </w:pPr>
      <w:r>
        <w:rPr>
          <w:rStyle w:val="C3"/>
          <w:rFonts w:ascii="Microsoft YaHei UI" w:hAnsi="Microsoft YaHei UI"/>
        </w:rPr>
        <w:t>（六）出版发行图书、报纸、期刊等出版物；</w:t>
      </w:r>
    </w:p>
    <w:p>
      <w:pPr>
        <w:pStyle w:val="P10"/>
        <w:spacing w:lineRule="exact" w:line="560"/>
        <w:ind w:firstLine="632"/>
        <w:contextualSpacing w:val="1"/>
        <w:rPr>
          <w:rStyle w:val="C3"/>
          <w:rFonts w:ascii="仿宋_GB2312" w:hAnsi="仿宋_GB2312"/>
        </w:rPr>
      </w:pPr>
      <w:r>
        <w:rPr>
          <w:rStyle w:val="C3"/>
          <w:rFonts w:ascii="Microsoft YaHei UI" w:hAnsi="Microsoft YaHei UI"/>
        </w:rPr>
        <w:t>（七）印制票据、票证、帐册；</w:t>
      </w:r>
    </w:p>
    <w:p>
      <w:pPr>
        <w:pStyle w:val="P10"/>
        <w:spacing w:lineRule="exact" w:line="560"/>
        <w:ind w:firstLine="632"/>
        <w:contextualSpacing w:val="1"/>
        <w:rPr>
          <w:rStyle w:val="C3"/>
          <w:rFonts w:ascii="仿宋_GB2312" w:hAnsi="仿宋_GB2312"/>
        </w:rPr>
      </w:pPr>
      <w:r>
        <w:rPr>
          <w:rStyle w:val="C3"/>
          <w:rFonts w:ascii="Microsoft YaHei UI" w:hAnsi="Microsoft YaHei UI"/>
        </w:rPr>
        <w:t>（八）生产、销售商品，标注商品标识、标签、标价签，编制产品使用说明书；</w:t>
      </w:r>
    </w:p>
    <w:p>
      <w:pPr>
        <w:pStyle w:val="P10"/>
        <w:spacing w:lineRule="exact" w:line="560"/>
        <w:ind w:firstLine="632"/>
        <w:contextualSpacing w:val="1"/>
        <w:rPr>
          <w:rStyle w:val="C3"/>
          <w:rFonts w:ascii="仿宋_GB2312" w:hAnsi="仿宋_GB2312"/>
        </w:rPr>
      </w:pPr>
      <w:r>
        <w:rPr>
          <w:rStyle w:val="C3"/>
          <w:rFonts w:ascii="Microsoft YaHei UI" w:hAnsi="Microsoft YaHei UI"/>
        </w:rPr>
        <w:t>（九）出具检定、校准、测试、检验、试验数据和凭证；</w:t>
      </w:r>
    </w:p>
    <w:p>
      <w:pPr>
        <w:pStyle w:val="P10"/>
        <w:spacing w:lineRule="exact" w:line="560"/>
        <w:ind w:firstLine="632"/>
        <w:contextualSpacing w:val="1"/>
        <w:rPr>
          <w:rStyle w:val="C3"/>
          <w:rFonts w:ascii="仿宋_GB2312" w:hAnsi="仿宋_GB2312"/>
        </w:rPr>
      </w:pPr>
      <w:r>
        <w:rPr>
          <w:rStyle w:val="C3"/>
          <w:rFonts w:ascii="Microsoft YaHei UI" w:hAnsi="Microsoft YaHei UI"/>
        </w:rPr>
        <w:t>（十）国家和本市规定应当使用法定计量单位的其他活动。</w:t>
      </w:r>
    </w:p>
    <w:p>
      <w:pPr>
        <w:pStyle w:val="P10"/>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再版、出版古籍和文学作品不适用本条例第八条规定。</w:t>
      </w:r>
    </w:p>
    <w:p>
      <w:pPr>
        <w:pStyle w:val="P10"/>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进口商品应当使用国家法定计量单位，合同有特殊约定的除外。出口商品使用的计量单位由合同约定；合同无约定的，使用国家法定计量单位。</w:t>
      </w:r>
    </w:p>
    <w:p>
      <w:pPr>
        <w:pStyle w:val="P10"/>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任何单位和个人不得使用非国家法定计量单位和国家明令废除的计量单位，法律、法规另有规定的除外。</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第三章　计量器具的检定、使用</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计量检定机构必须在规定的检定项目和测量范围内开展计量检定工作。</w:t>
      </w:r>
    </w:p>
    <w:p>
      <w:pPr>
        <w:pStyle w:val="P10"/>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计量检定人员依法取得技术监督行政管理部门核发的《计量检定员证》后，方可从事核准的检定项目和等级内的计量检定工作。</w:t>
      </w:r>
    </w:p>
    <w:p>
      <w:pPr>
        <w:pStyle w:val="P10"/>
        <w:spacing w:lineRule="exact" w:line="560"/>
        <w:ind w:firstLine="632"/>
        <w:contextualSpacing w:val="1"/>
        <w:rPr>
          <w:rStyle w:val="C3"/>
          <w:rFonts w:ascii="仿宋_GB2312" w:hAnsi="仿宋_GB2312"/>
        </w:rPr>
      </w:pPr>
      <w:r>
        <w:rPr>
          <w:rStyle w:val="C3"/>
          <w:rFonts w:ascii="Microsoft YaHei UI" w:hAnsi="Microsoft YaHei UI"/>
        </w:rPr>
        <w:t>计量检定人员到现场进行计量检定时，应当出示计量检定员证件。</w:t>
      </w:r>
    </w:p>
    <w:p>
      <w:pPr>
        <w:pStyle w:val="P10"/>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计量检定机构对送检的计量器具应当及时检定，检定时间不得超过十五日；因特殊情况需要延长的，应当事先与送检单位或者个人协商确定。</w:t>
      </w:r>
    </w:p>
    <w:p>
      <w:pPr>
        <w:pStyle w:val="P10"/>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单位和个人使用强制检定计量器具的，应当向技术监督行政管理部门备案。计量器具变更的，应当向原备案部门办理变更备案。</w:t>
      </w:r>
    </w:p>
    <w:p>
      <w:pPr>
        <w:pStyle w:val="P10"/>
        <w:spacing w:lineRule="exact" w:line="560"/>
        <w:ind w:firstLine="632"/>
        <w:contextualSpacing w:val="1"/>
        <w:rPr>
          <w:rStyle w:val="C3"/>
          <w:rFonts w:ascii="仿宋_GB2312" w:hAnsi="仿宋_GB2312"/>
        </w:rPr>
      </w:pPr>
      <w:r>
        <w:rPr>
          <w:rStyle w:val="C3"/>
          <w:rFonts w:ascii="Microsoft YaHei UI" w:hAnsi="Microsoft YaHei UI"/>
        </w:rPr>
        <w:t>强制检定计量器具包括：社会公用计量标准器具，部门和企业、事业单位使用的最高计量标准器具，以及用于贸易结算、安全防护、医疗卫生、环境监测方面的列入国家强制检定目录的工作计量器具。</w:t>
      </w:r>
    </w:p>
    <w:p>
      <w:pPr>
        <w:pStyle w:val="P10"/>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单位和个人使用的强制检定计量器具，应当按照规定的周期向技术监督行政管理部门指定的计量检定机构申请检定。当地不能检定的，向上一级技术监督行政管理部门指定的计量检定机构申请检定。</w:t>
      </w:r>
    </w:p>
    <w:p>
      <w:pPr>
        <w:pStyle w:val="P10"/>
        <w:spacing w:lineRule="exact" w:line="560"/>
        <w:ind w:firstLine="632"/>
        <w:contextualSpacing w:val="1"/>
        <w:rPr>
          <w:rStyle w:val="C3"/>
          <w:rFonts w:ascii="仿宋_GB2312" w:hAnsi="仿宋_GB2312"/>
        </w:rPr>
      </w:pPr>
      <w:r>
        <w:rPr>
          <w:rStyle w:val="C3"/>
          <w:rFonts w:ascii="Microsoft YaHei UI" w:hAnsi="Microsoft YaHei UI"/>
        </w:rPr>
        <w:t>使用非强制检定计量器具的单位和个人，应当按照规定的周期自行检定或者送计量检定机构检定。</w:t>
      </w:r>
    </w:p>
    <w:p>
      <w:pPr>
        <w:pStyle w:val="P10"/>
        <w:spacing w:lineRule="exact" w:line="560"/>
        <w:ind w:firstLine="632"/>
        <w:contextualSpacing w:val="1"/>
        <w:rPr>
          <w:rStyle w:val="C3"/>
          <w:rFonts w:ascii="仿宋_GB2312" w:hAnsi="仿宋_GB2312"/>
        </w:rPr>
      </w:pPr>
      <w:r>
        <w:rPr>
          <w:rStyle w:val="C3"/>
          <w:rFonts w:ascii="Microsoft YaHei UI" w:hAnsi="Microsoft YaHei UI"/>
        </w:rPr>
        <w:t>经检定合格的计量器具，按照国家有关规定，加盖或者出具计量检定合格印、证。</w:t>
      </w:r>
    </w:p>
    <w:p>
      <w:pPr>
        <w:pStyle w:val="P10"/>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新安装和自行改装的计量器具，必须经计量检定机构检定合格后，方准使用。</w:t>
      </w:r>
    </w:p>
    <w:p>
      <w:pPr>
        <w:pStyle w:val="P10"/>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强制检定的计量器具需要封存或者启封使用的，必须到区、县技术监督行政管理部门办理封存或者启封手续。</w:t>
      </w:r>
    </w:p>
    <w:p>
      <w:pPr>
        <w:pStyle w:val="P10"/>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单位进口自用的计量器具，必须经市技术监督行政管理部门指定的计量检定机构检定合格后，方准使用。</w:t>
      </w:r>
    </w:p>
    <w:p>
      <w:pPr>
        <w:pStyle w:val="P10"/>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使用计量器具的单位和个人，不得有下列行为：</w:t>
      </w:r>
    </w:p>
    <w:p>
      <w:pPr>
        <w:pStyle w:val="P10"/>
        <w:spacing w:lineRule="exact" w:line="560"/>
        <w:ind w:firstLine="632"/>
        <w:contextualSpacing w:val="1"/>
        <w:rPr>
          <w:rStyle w:val="C3"/>
          <w:rFonts w:ascii="仿宋_GB2312" w:hAnsi="仿宋_GB2312"/>
        </w:rPr>
      </w:pPr>
      <w:r>
        <w:rPr>
          <w:rStyle w:val="C3"/>
          <w:rFonts w:ascii="Microsoft YaHei UI" w:hAnsi="Microsoft YaHei UI"/>
        </w:rPr>
        <w:t>（一）破坏计量器具准确度；</w:t>
      </w:r>
    </w:p>
    <w:p>
      <w:pPr>
        <w:pStyle w:val="P10"/>
        <w:spacing w:lineRule="exact" w:line="560"/>
        <w:ind w:firstLine="632"/>
        <w:contextualSpacing w:val="1"/>
        <w:rPr>
          <w:rStyle w:val="C3"/>
          <w:rFonts w:ascii="仿宋_GB2312" w:hAnsi="仿宋_GB2312"/>
        </w:rPr>
      </w:pPr>
      <w:r>
        <w:rPr>
          <w:rStyle w:val="C3"/>
          <w:rFonts w:ascii="Microsoft YaHei UI" w:hAnsi="Microsoft YaHei UI"/>
        </w:rPr>
        <w:t>（二）伪造、盗用、倒卖计量检定合格印、证；</w:t>
      </w:r>
    </w:p>
    <w:p>
      <w:pPr>
        <w:pStyle w:val="P10"/>
        <w:spacing w:lineRule="exact" w:line="560"/>
        <w:ind w:firstLine="632"/>
        <w:contextualSpacing w:val="1"/>
        <w:rPr>
          <w:rStyle w:val="C3"/>
          <w:rFonts w:ascii="仿宋_GB2312" w:hAnsi="仿宋_GB2312"/>
        </w:rPr>
      </w:pPr>
      <w:r>
        <w:rPr>
          <w:rStyle w:val="C3"/>
          <w:rFonts w:ascii="Microsoft YaHei UI" w:hAnsi="Microsoft YaHei UI"/>
        </w:rPr>
        <w:t>（三）使用不合格的计量器具；</w:t>
      </w:r>
    </w:p>
    <w:p>
      <w:pPr>
        <w:pStyle w:val="P10"/>
        <w:spacing w:lineRule="exact" w:line="560"/>
        <w:ind w:firstLine="632"/>
        <w:contextualSpacing w:val="1"/>
        <w:rPr>
          <w:rStyle w:val="C3"/>
          <w:rFonts w:ascii="仿宋_GB2312" w:hAnsi="仿宋_GB2312"/>
        </w:rPr>
      </w:pPr>
      <w:r>
        <w:rPr>
          <w:rStyle w:val="C3"/>
          <w:rFonts w:ascii="Microsoft YaHei UI" w:hAnsi="Microsoft YaHei UI"/>
        </w:rPr>
        <w:t>（四）使用国家和本市明令淘汰的计量器具；</w:t>
      </w:r>
    </w:p>
    <w:p>
      <w:pPr>
        <w:pStyle w:val="P10"/>
        <w:spacing w:lineRule="exact" w:line="560"/>
        <w:ind w:firstLine="632"/>
        <w:contextualSpacing w:val="1"/>
        <w:rPr>
          <w:rStyle w:val="C3"/>
          <w:rFonts w:ascii="仿宋_GB2312" w:hAnsi="仿宋_GB2312"/>
        </w:rPr>
      </w:pPr>
      <w:r>
        <w:rPr>
          <w:rStyle w:val="C3"/>
          <w:rFonts w:ascii="Microsoft YaHei UI" w:hAnsi="Microsoft YaHei UI"/>
        </w:rPr>
        <w:t>（五）使用以欺骗消费者为目的的计量器具；</w:t>
      </w:r>
    </w:p>
    <w:p>
      <w:pPr>
        <w:pStyle w:val="P10"/>
        <w:spacing w:lineRule="exact" w:line="560"/>
        <w:ind w:firstLine="632"/>
        <w:contextualSpacing w:val="1"/>
        <w:rPr>
          <w:rStyle w:val="C3"/>
          <w:rFonts w:ascii="仿宋_GB2312" w:hAnsi="仿宋_GB2312"/>
        </w:rPr>
      </w:pPr>
      <w:r>
        <w:rPr>
          <w:rStyle w:val="C3"/>
          <w:rFonts w:ascii="Microsoft YaHei UI" w:hAnsi="Microsoft YaHei UI"/>
        </w:rPr>
        <w:t>（六）伪造计量数据。</w:t>
      </w:r>
    </w:p>
    <w:p>
      <w:pPr>
        <w:pStyle w:val="P10"/>
        <w:spacing w:lineRule="exact" w:line="560"/>
        <w:ind w:firstLine="632"/>
        <w:contextualSpacing w:val="1"/>
        <w:rPr>
          <w:rStyle w:val="C3"/>
          <w:rFonts w:ascii="仿宋_GB2312" w:hAnsi="仿宋_GB2312"/>
        </w:rPr>
      </w:pPr>
      <w:r>
        <w:rPr>
          <w:rStyle w:val="C3"/>
          <w:rFonts w:ascii="Microsoft YaHei UI" w:hAnsi="Microsoft YaHei UI"/>
        </w:rPr>
        <w:t>在教学示范中使用计量器具不适用前款规定。</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第四章　计量器具的制造、修理、销售、进口</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从事制造、修理计量器具的，应当依法取得技术监督行政管理部门核发的《制造计量器具许可证》、《修理计量器具许可证》。</w:t>
      </w:r>
    </w:p>
    <w:p>
      <w:pPr>
        <w:pStyle w:val="P10"/>
        <w:spacing w:lineRule="exact" w:line="560"/>
        <w:ind w:firstLine="632"/>
        <w:contextualSpacing w:val="1"/>
        <w:rPr>
          <w:rStyle w:val="C3"/>
          <w:rFonts w:ascii="仿宋_GB2312" w:hAnsi="仿宋_GB2312"/>
        </w:rPr>
      </w:pPr>
      <w:r>
        <w:rPr>
          <w:rStyle w:val="C3"/>
          <w:rFonts w:ascii="Microsoft YaHei UI" w:hAnsi="Microsoft YaHei UI"/>
        </w:rPr>
        <w:t>任何单位和个人不得伪造、盗用、转让、租借《制造计量器具许可证》、《修理计量器具许可证》。</w:t>
      </w:r>
    </w:p>
    <w:p>
      <w:pPr>
        <w:pStyle w:val="P10"/>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从事制造计量器具新产品的，应当经国家授权的计量检定机构定型鉴定或者样机试验合格，取得型式批准或者样机试验合格证书后，方可投产。</w:t>
      </w:r>
    </w:p>
    <w:p>
      <w:pPr>
        <w:pStyle w:val="P10"/>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制造、修理计量器具的单位和个人，应当按照许可证批准的种类、准确度等级、量限进行制造和修理；发生变更的，必须办理变更手续。</w:t>
      </w:r>
    </w:p>
    <w:p>
      <w:pPr>
        <w:pStyle w:val="P10"/>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进口以销售为目的的计量器具的，应当向市技术监督行政管理部门提出检定申请，由指定的计量检定机构检定合格，经市技术监督行政管理部门在检定证书上加盖合格印鉴后，方可销售。</w:t>
      </w:r>
    </w:p>
    <w:p>
      <w:pPr>
        <w:pStyle w:val="P10"/>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任何单位和个人不得销售下列计量器具：</w:t>
      </w:r>
    </w:p>
    <w:p>
      <w:pPr>
        <w:pStyle w:val="P10"/>
        <w:spacing w:lineRule="exact" w:line="560"/>
        <w:ind w:firstLine="632"/>
        <w:contextualSpacing w:val="1"/>
        <w:rPr>
          <w:rStyle w:val="C3"/>
          <w:rFonts w:ascii="仿宋_GB2312" w:hAnsi="仿宋_GB2312"/>
        </w:rPr>
      </w:pPr>
      <w:r>
        <w:rPr>
          <w:rStyle w:val="C3"/>
          <w:rFonts w:ascii="Microsoft YaHei UI" w:hAnsi="Microsoft YaHei UI"/>
        </w:rPr>
        <w:t>（一）无计量检定合格印、证的；</w:t>
      </w:r>
    </w:p>
    <w:p>
      <w:pPr>
        <w:pStyle w:val="P10"/>
        <w:spacing w:lineRule="exact" w:line="560"/>
        <w:ind w:firstLine="632"/>
        <w:contextualSpacing w:val="1"/>
        <w:rPr>
          <w:rStyle w:val="C3"/>
          <w:rFonts w:ascii="仿宋_GB2312" w:hAnsi="仿宋_GB2312"/>
        </w:rPr>
      </w:pPr>
      <w:r>
        <w:rPr>
          <w:rStyle w:val="C3"/>
          <w:rFonts w:ascii="Microsoft YaHei UI" w:hAnsi="Microsoft YaHei UI"/>
        </w:rPr>
        <w:t>（二）用不合格零配件装配的；</w:t>
      </w:r>
    </w:p>
    <w:p>
      <w:pPr>
        <w:pStyle w:val="P10"/>
        <w:spacing w:lineRule="exact" w:line="560"/>
        <w:ind w:firstLine="632"/>
        <w:contextualSpacing w:val="1"/>
        <w:rPr>
          <w:rStyle w:val="C3"/>
          <w:rFonts w:ascii="仿宋_GB2312" w:hAnsi="仿宋_GB2312"/>
        </w:rPr>
      </w:pPr>
      <w:r>
        <w:rPr>
          <w:rStyle w:val="C3"/>
          <w:rFonts w:ascii="Microsoft YaHei UI" w:hAnsi="Microsoft YaHei UI"/>
        </w:rPr>
        <w:t>（三）未标明制造计量器具许可标志和编号的；</w:t>
      </w:r>
    </w:p>
    <w:p>
      <w:pPr>
        <w:pStyle w:val="P10"/>
        <w:spacing w:lineRule="exact" w:line="560"/>
        <w:ind w:firstLine="632"/>
        <w:contextualSpacing w:val="1"/>
        <w:rPr>
          <w:rStyle w:val="C3"/>
          <w:rFonts w:ascii="仿宋_GB2312" w:hAnsi="仿宋_GB2312"/>
        </w:rPr>
      </w:pPr>
      <w:r>
        <w:rPr>
          <w:rStyle w:val="C3"/>
          <w:rFonts w:ascii="Microsoft YaHei UI" w:hAnsi="Microsoft YaHei UI"/>
        </w:rPr>
        <w:t>（四）未标明型号、规格、量限和准确度等级的；</w:t>
      </w:r>
    </w:p>
    <w:p>
      <w:pPr>
        <w:pStyle w:val="P10"/>
        <w:spacing w:lineRule="exact" w:line="560"/>
        <w:ind w:firstLine="632"/>
        <w:contextualSpacing w:val="1"/>
        <w:rPr>
          <w:rStyle w:val="C3"/>
          <w:rFonts w:ascii="仿宋_GB2312" w:hAnsi="仿宋_GB2312"/>
        </w:rPr>
      </w:pPr>
      <w:r>
        <w:rPr>
          <w:rStyle w:val="C3"/>
          <w:rFonts w:ascii="Microsoft YaHei UI" w:hAnsi="Microsoft YaHei UI"/>
        </w:rPr>
        <w:t>（五）新产品未经定型鉴定、样机试验的；</w:t>
      </w:r>
    </w:p>
    <w:p>
      <w:pPr>
        <w:pStyle w:val="P10"/>
        <w:spacing w:lineRule="exact" w:line="560"/>
        <w:ind w:firstLine="632"/>
        <w:contextualSpacing w:val="1"/>
        <w:rPr>
          <w:rStyle w:val="C3"/>
          <w:rFonts w:ascii="仿宋_GB2312" w:hAnsi="仿宋_GB2312"/>
        </w:rPr>
      </w:pPr>
      <w:r>
        <w:rPr>
          <w:rStyle w:val="C3"/>
          <w:rFonts w:ascii="Microsoft YaHei UI" w:hAnsi="Microsoft YaHei UI"/>
        </w:rPr>
        <w:t>（六）未经批准标注非国家法定计量单位的；</w:t>
      </w:r>
    </w:p>
    <w:p>
      <w:pPr>
        <w:pStyle w:val="P10"/>
        <w:spacing w:lineRule="exact" w:line="560"/>
        <w:ind w:firstLine="632"/>
        <w:contextualSpacing w:val="1"/>
        <w:rPr>
          <w:rStyle w:val="C3"/>
          <w:rFonts w:ascii="仿宋_GB2312" w:hAnsi="仿宋_GB2312"/>
        </w:rPr>
      </w:pPr>
      <w:r>
        <w:rPr>
          <w:rStyle w:val="C3"/>
          <w:rFonts w:ascii="Microsoft YaHei UI" w:hAnsi="Microsoft YaHei UI"/>
        </w:rPr>
        <w:t>（七）应当在售前报检而未报检或者报检不合格的；</w:t>
      </w:r>
    </w:p>
    <w:p>
      <w:pPr>
        <w:pStyle w:val="P10"/>
        <w:spacing w:lineRule="exact" w:line="560"/>
        <w:ind w:firstLine="632"/>
        <w:contextualSpacing w:val="1"/>
        <w:rPr>
          <w:rStyle w:val="C3"/>
          <w:rFonts w:ascii="仿宋_GB2312" w:hAnsi="仿宋_GB2312"/>
        </w:rPr>
      </w:pPr>
      <w:r>
        <w:rPr>
          <w:rStyle w:val="C3"/>
          <w:rFonts w:ascii="Microsoft YaHei UI" w:hAnsi="Microsoft YaHei UI"/>
        </w:rPr>
        <w:t>（八）国家和本市明令淘汰和禁止进口的。</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第五章　社会公正计量行（站）的认证</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为社会提供服务的社会公正计量行（站），必须经市技术监督行政管理部门计量认证合格，取得计量认证合格证书后，方可在认证范围内开展业务。其出具的计量数据可以作为贸易结算的依据。</w:t>
      </w:r>
    </w:p>
    <w:p>
      <w:pPr>
        <w:pStyle w:val="P10"/>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已经取得计量认证合格证书的社会公正计量行（站），需要增加检测项目的，应当按照有关规定申请单项计量认证。</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第六章　企业、事业单位的计量管理</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企业、事业单位应当加强计量管理，根据实际需要配备与生产、科研、经营管理相适应的计量器具和计量人员，建立健全计量管理规章制度，积极采用先进计量技术。</w:t>
      </w:r>
    </w:p>
    <w:p>
      <w:pPr>
        <w:pStyle w:val="P10"/>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企业、事业单位应当进行计量器具的校准，保证量值溯源的有效。</w:t>
      </w:r>
    </w:p>
    <w:p>
      <w:pPr>
        <w:pStyle w:val="P10"/>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新建、扩建生产项目的设计方案中，应当有计量保证措施。</w:t>
      </w:r>
    </w:p>
    <w:p>
      <w:pPr>
        <w:pStyle w:val="P10"/>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技术监督行政管理部门应当指导企业、事业单位建立健全计量检测体系。企业、事业单位可以向技术监督行政管理部门申请计量检测体系评定。达到国家计量评定标准的，发给证书。</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第七章　商品交易的计量管理</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经营依据量值结算的商品，应当配备符合国家和本市规定的计量器具；没有配备的，不得从事经营活动。</w:t>
      </w:r>
    </w:p>
    <w:p>
      <w:pPr>
        <w:pStyle w:val="P10"/>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经营者销售的商品量、提供的计时服务量和信息服务量的实际值与结算值应当相符，其计量偏差必须符合国家和本市的有关规定。</w:t>
      </w:r>
    </w:p>
    <w:p>
      <w:pPr>
        <w:pStyle w:val="P10"/>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经营定量包装商品的，应当按照国家规定的标注方法，在单件包装物的显著位置标明内装商品的净含量。商品实际净含量与标明的净含量应当相符。</w:t>
      </w:r>
    </w:p>
    <w:p>
      <w:pPr>
        <w:pStyle w:val="P10"/>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商品交易采取现场计量的，经营者应当向消费者明示计量器具操作过程和计量器具显示的量值。消费者有异议时，有权要求经营者重新操作并显示量值。</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第八章　计量监督</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计量监督实行重点监督和经常监督相结合的制度。技术监督行政管理部门对国民经济和人民群众生活影响较大的计量行为，进行重点监督检查；对集贸市场和商场的计量行为，进行经常性监督检查。</w:t>
      </w:r>
    </w:p>
    <w:p>
      <w:pPr>
        <w:pStyle w:val="P10"/>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技术监督行政管理部门查处计量违法案件时，可以询问有关当事人和证人，进入生产、经营场地和产（商）品存放地检查，要求当事人提供有关资料，在违法物品或者证据可能转移、灭失的情况下，经市或者区、县技术监督行政管理部门负责人批准可以采取封存、扣押的临时措施。</w:t>
      </w:r>
    </w:p>
    <w:p>
      <w:pPr>
        <w:pStyle w:val="P10"/>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计量监督执法人员对被检查者制造、销售、使用的计量器具或者经营的定量包装商品的计量准确性进行监督检查时，被检查者应当给予配合，并按照规定提供被检查的计量器具或者定量包装商品。</w:t>
      </w:r>
    </w:p>
    <w:p>
      <w:pPr>
        <w:pStyle w:val="P10"/>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计量监督执法人员在进行监督检查时，应当有两人以上参加，并出示执法证件。</w:t>
      </w:r>
    </w:p>
    <w:p>
      <w:pPr>
        <w:pStyle w:val="P10"/>
        <w:spacing w:lineRule="exact" w:line="560"/>
        <w:ind w:firstLine="632"/>
        <w:contextualSpacing w:val="1"/>
        <w:rPr>
          <w:rStyle w:val="C3"/>
          <w:rFonts w:ascii="仿宋_GB2312" w:hAnsi="仿宋_GB2312"/>
        </w:rPr>
      </w:pPr>
      <w:r>
        <w:rPr>
          <w:rStyle w:val="C3"/>
          <w:rFonts w:ascii="Microsoft YaHei UI" w:hAnsi="Microsoft YaHei UI"/>
        </w:rPr>
        <w:t>计量监督执法人员违反前款规定的，被检查的单位和个人有权拒绝检查。</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第九章　法律责任</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违反本条例第八条规定的，责令改正；其中对违反第（六）项规定的，责令停止销售，可处以一千元以下罚款。</w:t>
      </w:r>
    </w:p>
    <w:p>
      <w:pPr>
        <w:pStyle w:val="P10"/>
        <w:spacing w:lineRule="exact" w:line="560"/>
        <w:ind w:firstLine="632"/>
        <w:contextualSpacing w:val="1"/>
        <w:rPr>
          <w:rStyle w:val="C3"/>
          <w:rFonts w:ascii="仿宋_GB2312" w:hAnsi="仿宋_GB2312"/>
        </w:rPr>
      </w:pPr>
      <w:r>
        <w:rPr>
          <w:rStyle w:val="C3"/>
          <w:rFonts w:ascii="黑体" w:hAnsi="黑体"/>
        </w:rPr>
        <w:t>第四十一条　</w:t>
      </w:r>
      <w:r>
        <w:rPr>
          <w:rStyle w:val="C3"/>
          <w:rFonts w:ascii="Microsoft YaHei UI" w:hAnsi="Microsoft YaHei UI"/>
        </w:rPr>
        <w:t>违反本条例第十二条、第十三条第一款规定的，责令停止违法行为，可处以一千元以下罚款。</w:t>
      </w:r>
    </w:p>
    <w:p>
      <w:pPr>
        <w:pStyle w:val="P10"/>
        <w:spacing w:lineRule="exact" w:line="560"/>
        <w:contextualSpacing w:val="1"/>
        <w:jc w:val="center"/>
        <w:rPr>
          <w:rStyle w:val="C3"/>
          <w:rFonts w:ascii="仿宋_GB2312" w:hAnsi="仿宋_GB2312"/>
        </w:rPr>
      </w:pPr>
      <w:r>
        <w:rPr>
          <w:rStyle w:val="C3"/>
          <w:rFonts w:ascii="黑体" w:hAnsi="黑体"/>
        </w:rPr>
        <w:t>　　第四十二条</w:t>
      </w:r>
      <w:r>
        <w:rPr>
          <w:rStyle w:val="C3"/>
          <w:rFonts w:ascii="Microsoft YaHei UI" w:hAnsi="Microsoft YaHei UI"/>
        </w:rPr>
        <w:t>　违反本条例第十六条第一款、第二款规定的，</w:t>
      </w:r>
    </w:p>
    <w:p>
      <w:pPr>
        <w:pStyle w:val="P10"/>
        <w:spacing w:lineRule="exact" w:line="560"/>
        <w:contextualSpacing w:val="1"/>
        <w:rPr>
          <w:rStyle w:val="C3"/>
          <w:rFonts w:ascii="仿宋_GB2312" w:hAnsi="仿宋_GB2312"/>
        </w:rPr>
      </w:pPr>
      <w:r>
        <w:rPr>
          <w:rStyle w:val="C3"/>
          <w:rFonts w:ascii="Microsoft YaHei UI" w:hAnsi="Microsoft YaHei UI"/>
        </w:rPr>
        <w:t>责令停止使用，可处以一千元以下罚款。</w:t>
      </w:r>
    </w:p>
    <w:p>
      <w:pPr>
        <w:pStyle w:val="P10"/>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违反本条例第十八条、第十九条、第二十条第（四）项规定的，责令停止使用，可处以一千元以下罚款；情节严重的，可处以一千元以上一万元以下罚款。</w:t>
      </w:r>
    </w:p>
    <w:p>
      <w:pPr>
        <w:pStyle w:val="P10"/>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条例第二十条第（一）项、第（二）项、第（三）项、第（五）项、第（六）项和第三十二条、第三十三条、第三十四条规定的，责令停止使用或者销售，没收计量器具和非法检定印、证，并可处以二千元以下罚款；有违法所得的，没收违法所得。</w:t>
      </w:r>
    </w:p>
    <w:p>
      <w:pPr>
        <w:pStyle w:val="P10"/>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违反本条例第二十一条第一款、第二十三条规定的，责令停止生产或者营业，没收违法所得，并可处以违法所得百分之十以上百分之五十以下罚款。</w:t>
      </w:r>
    </w:p>
    <w:p>
      <w:pPr>
        <w:pStyle w:val="P10"/>
        <w:spacing w:lineRule="exact" w:line="56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违反本条例第二十一条第二款规定的，没收证件，并可处以五千元以上三万元以下罚款；有违法所得的，没收违法所得。</w:t>
      </w:r>
    </w:p>
    <w:p>
      <w:pPr>
        <w:pStyle w:val="P10"/>
        <w:spacing w:lineRule="exact" w:line="560"/>
        <w:ind w:firstLine="632"/>
        <w:contextualSpacing w:val="1"/>
        <w:rPr>
          <w:rStyle w:val="C3"/>
          <w:rFonts w:ascii="仿宋_GB2312" w:hAnsi="仿宋_GB2312"/>
        </w:rPr>
      </w:pPr>
      <w:r>
        <w:rPr>
          <w:rStyle w:val="C3"/>
          <w:rFonts w:ascii="黑体" w:hAnsi="黑体"/>
        </w:rPr>
        <w:t>第四十七条</w:t>
      </w:r>
      <w:r>
        <w:rPr>
          <w:rStyle w:val="C3"/>
          <w:rFonts w:ascii="Microsoft YaHei UI" w:hAnsi="Microsoft YaHei UI"/>
        </w:rPr>
        <w:t>　违反本条例第二十四条、第二十五条第（七）项规定的，责令停止销售，可处以销售额百分之十以上百分之五十以下罚款；有违法所得的，没收违法所得。</w:t>
      </w:r>
    </w:p>
    <w:p>
      <w:pPr>
        <w:pStyle w:val="P10"/>
        <w:spacing w:lineRule="exact" w:line="560"/>
        <w:ind w:firstLine="632"/>
        <w:contextualSpacing w:val="1"/>
        <w:rPr>
          <w:rStyle w:val="C3"/>
          <w:rFonts w:ascii="仿宋_GB2312" w:hAnsi="仿宋_GB2312"/>
        </w:rPr>
      </w:pPr>
      <w:r>
        <w:rPr>
          <w:rStyle w:val="C3"/>
          <w:rFonts w:ascii="黑体" w:hAnsi="黑体"/>
        </w:rPr>
        <w:t>第四十八条</w:t>
      </w:r>
      <w:r>
        <w:rPr>
          <w:rStyle w:val="C3"/>
          <w:rFonts w:ascii="Microsoft YaHei UI" w:hAnsi="Microsoft YaHei UI"/>
        </w:rPr>
        <w:t>　违反本条例第二十五条第（一）项、第（二）项、第（三）项、第（四）项、第（五）项、第（六）项、第（八）项规定的，没收计量器具，并可处以一千元以上一万元以下罚款；有违法所得的，没收违法所得。</w:t>
      </w:r>
    </w:p>
    <w:p>
      <w:pPr>
        <w:pStyle w:val="P10"/>
        <w:spacing w:lineRule="exact" w:line="560"/>
        <w:ind w:firstLine="632"/>
        <w:contextualSpacing w:val="1"/>
        <w:rPr>
          <w:rStyle w:val="C3"/>
          <w:rFonts w:ascii="仿宋_GB2312" w:hAnsi="仿宋_GB2312"/>
        </w:rPr>
      </w:pPr>
      <w:r>
        <w:rPr>
          <w:rStyle w:val="C3"/>
          <w:rFonts w:ascii="黑体" w:hAnsi="黑体"/>
        </w:rPr>
        <w:t>第四十九条</w:t>
      </w:r>
      <w:r>
        <w:rPr>
          <w:rStyle w:val="C3"/>
          <w:rFonts w:ascii="Microsoft YaHei UI" w:hAnsi="Microsoft YaHei UI"/>
        </w:rPr>
        <w:t>　违反本条例第二十六条、第二十七条规定的，责令停止检验，可处以一千元以下罚款。</w:t>
      </w:r>
    </w:p>
    <w:p>
      <w:pPr>
        <w:pStyle w:val="P10"/>
        <w:spacing w:lineRule="exact" w:line="560"/>
        <w:ind w:firstLine="632"/>
        <w:contextualSpacing w:val="1"/>
        <w:rPr>
          <w:rStyle w:val="C3"/>
          <w:rFonts w:ascii="仿宋_GB2312" w:hAnsi="仿宋_GB2312"/>
        </w:rPr>
      </w:pPr>
      <w:r>
        <w:rPr>
          <w:rStyle w:val="C3"/>
          <w:rFonts w:ascii="黑体" w:hAnsi="黑体"/>
        </w:rPr>
        <w:t>第五十条</w:t>
      </w:r>
      <w:r>
        <w:rPr>
          <w:rStyle w:val="C3"/>
          <w:rFonts w:ascii="Microsoft YaHei UI" w:hAnsi="Microsoft YaHei UI"/>
        </w:rPr>
        <w:t>　负责计量器具新产品定型鉴定、样机试验的单位，泄露送检者技术秘密和商业秘密造成送检者损失的，应当赔偿损失；对直接责任人员，由其所在单位或者上级主管部门给予行政处分；构成犯罪的，依法追究刑事责任。</w:t>
      </w:r>
    </w:p>
    <w:p>
      <w:pPr>
        <w:pStyle w:val="P10"/>
        <w:spacing w:lineRule="exact" w:line="560"/>
        <w:ind w:firstLine="632"/>
        <w:contextualSpacing w:val="1"/>
        <w:rPr>
          <w:rStyle w:val="C3"/>
          <w:rFonts w:ascii="仿宋_GB2312" w:hAnsi="仿宋_GB2312"/>
        </w:rPr>
      </w:pPr>
      <w:r>
        <w:rPr>
          <w:rStyle w:val="C3"/>
          <w:rFonts w:ascii="黑体" w:hAnsi="黑体"/>
        </w:rPr>
        <w:t>第五十一条</w:t>
      </w:r>
      <w:r>
        <w:rPr>
          <w:rStyle w:val="C3"/>
          <w:rFonts w:ascii="Microsoft YaHei UI" w:hAnsi="Microsoft YaHei UI"/>
        </w:rPr>
        <w:t>　计量检定人员伪造检定数据或者出具错误数据给送检方造成损失的，应当赔偿损失，并由其所在单位或者上级主管部门给予行政处分；构成犯罪的，依法追究刑事责任。</w:t>
      </w:r>
    </w:p>
    <w:p>
      <w:pPr>
        <w:pStyle w:val="P10"/>
        <w:spacing w:lineRule="exact" w:line="560"/>
        <w:ind w:firstLine="632"/>
        <w:contextualSpacing w:val="1"/>
        <w:rPr>
          <w:rStyle w:val="C3"/>
          <w:rFonts w:ascii="仿宋_GB2312" w:hAnsi="仿宋_GB2312"/>
        </w:rPr>
      </w:pPr>
      <w:r>
        <w:rPr>
          <w:rStyle w:val="C3"/>
          <w:rFonts w:ascii="黑体" w:hAnsi="黑体"/>
        </w:rPr>
        <w:t>第五十二条</w:t>
      </w:r>
      <w:r>
        <w:rPr>
          <w:rStyle w:val="C3"/>
          <w:rFonts w:ascii="Microsoft YaHei UI" w:hAnsi="Microsoft YaHei UI"/>
        </w:rPr>
        <w:t>　拒绝、阻碍计量监督执法人员依法执行公务的，由公安机关依照《中华人民共和国治安管理处罚法》的规定予以处罚；构成犯罪的，依法追究刑事责任。</w:t>
      </w:r>
    </w:p>
    <w:p>
      <w:pPr>
        <w:pStyle w:val="P10"/>
        <w:spacing w:lineRule="exact" w:line="560"/>
        <w:ind w:firstLine="632"/>
        <w:contextualSpacing w:val="1"/>
        <w:rPr>
          <w:rStyle w:val="C3"/>
          <w:rFonts w:ascii="仿宋_GB2312" w:hAnsi="仿宋_GB2312"/>
        </w:rPr>
      </w:pPr>
      <w:r>
        <w:rPr>
          <w:rStyle w:val="C3"/>
          <w:rFonts w:ascii="黑体" w:hAnsi="黑体"/>
        </w:rPr>
        <w:t>第五十三条</w:t>
      </w:r>
      <w:r>
        <w:rPr>
          <w:rStyle w:val="C3"/>
          <w:rFonts w:ascii="Microsoft YaHei UI" w:hAnsi="Microsoft YaHei UI"/>
        </w:rPr>
        <w:t>　当事人对行政处罚决定不服的，可以按照《中华人民共和国行政复议法》和《中华人民共和国行政诉讼法》的规定，申请行政复议或者向人民法院起诉。当事人逾期不申请复议，不起诉，又不履行处罚决定的，由作出处罚决定的机关申请人民法院强制执行。</w:t>
      </w:r>
    </w:p>
    <w:p>
      <w:pPr>
        <w:pStyle w:val="P10"/>
        <w:spacing w:lineRule="exact" w:line="560"/>
        <w:ind w:firstLine="632"/>
        <w:contextualSpacing w:val="1"/>
        <w:rPr>
          <w:rStyle w:val="C3"/>
          <w:rFonts w:ascii="仿宋_GB2312" w:hAnsi="仿宋_GB2312"/>
        </w:rPr>
      </w:pPr>
      <w:r>
        <w:rPr>
          <w:rStyle w:val="C3"/>
          <w:rFonts w:ascii="黑体" w:hAnsi="黑体"/>
        </w:rPr>
        <w:t>第五十四条</w:t>
      </w:r>
      <w:r>
        <w:rPr>
          <w:rStyle w:val="C3"/>
          <w:rFonts w:ascii="Microsoft YaHei UI" w:hAnsi="Microsoft YaHei UI"/>
        </w:rPr>
        <w:t>　计量监督执法人员滥用职权、玩忽职守、徇私舞弊、索贿受贿的，由其所在单位或者上级主管部门给予行政处分；构成犯罪的，依法追究刑事责任。</w:t>
      </w:r>
    </w:p>
    <w:p>
      <w:pPr>
        <w:pStyle w:val="P10"/>
        <w:spacing w:lineRule="exact" w:line="560"/>
        <w:contextualSpacing w:val="1"/>
        <w:rPr>
          <w:rStyle w:val="C3"/>
          <w:rFonts w:ascii="仿宋_GB2312" w:hAnsi="仿宋_GB2312"/>
        </w:rPr>
      </w:pPr>
    </w:p>
    <w:p>
      <w:pPr>
        <w:pStyle w:val="P10"/>
        <w:spacing w:lineRule="exact" w:line="560"/>
        <w:contextualSpacing w:val="1"/>
        <w:jc w:val="center"/>
        <w:rPr>
          <w:rStyle w:val="C3"/>
          <w:rFonts w:ascii="黑体" w:hAnsi="黑体"/>
        </w:rPr>
      </w:pPr>
      <w:r>
        <w:rPr>
          <w:rStyle w:val="C3"/>
          <w:rFonts w:ascii="黑体" w:hAnsi="黑体"/>
        </w:rPr>
        <w:t>第十章　附则</w:t>
      </w:r>
    </w:p>
    <w:p>
      <w:pPr>
        <w:pStyle w:val="P10"/>
        <w:spacing w:lineRule="exact" w:line="560"/>
        <w:contextualSpacing w:val="1"/>
        <w:rPr>
          <w:rStyle w:val="C3"/>
          <w:rFonts w:ascii="仿宋_GB2312" w:hAnsi="仿宋_GB2312"/>
        </w:rPr>
      </w:pPr>
    </w:p>
    <w:p>
      <w:pPr>
        <w:pStyle w:val="P10"/>
        <w:spacing w:lineRule="exact" w:line="560"/>
        <w:ind w:firstLine="632"/>
        <w:contextualSpacing w:val="1"/>
        <w:rPr>
          <w:rStyle w:val="C3"/>
          <w:rFonts w:ascii="Adobe 仿宋 Std R" w:hAnsi="Adobe 仿宋 Std R"/>
        </w:rPr>
      </w:pPr>
      <w:r>
        <w:rPr>
          <w:rStyle w:val="C3"/>
          <w:rFonts w:ascii="黑体" w:hAnsi="黑体"/>
        </w:rPr>
        <w:t>第五十五条</w:t>
      </w:r>
      <w:r>
        <w:rPr>
          <w:rStyle w:val="C3"/>
          <w:rFonts w:ascii="Microsoft YaHei UI" w:hAnsi="Microsoft YaHei UI"/>
        </w:rPr>
        <w:t>　本条例自公布之日起施行。</w:t>
      </w:r>
    </w:p>
    <w:p>
      <w:pPr>
        <w:pStyle w:val="P14"/>
        <w:spacing w:lineRule="exact" w:line="560" w:before="0" w:after="0" w:beforeAutospacing="0" w:afterAutospacing="0"/>
        <w:contextualSpacing w:val="1"/>
        <w:jc w:val="center"/>
        <w:rPr>
          <w:rStyle w:val="C3"/>
          <w:rFonts w:ascii="方正小标宋简体" w:hAnsi="方正小标宋简体"/>
          <w:sz w:val="32"/>
        </w:rPr>
      </w:pPr>
    </w:p>
    <w:p>
      <w:pPr>
        <w:pStyle w:val="P14"/>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9"/>
    <w:pPr/>
    <w:rPr>
      <w:sz w:val="18"/>
    </w:rPr>
  </w:style>
  <w:style w:type="paragraph" w:styleId="P3">
    <w:name w:val="日期"/>
    <w:basedOn w:val="P1"/>
    <w:next w:val="P1"/>
    <w:pPr>
      <w:ind w:left="100"/>
    </w:pPr>
    <w:rPr>
      <w:rFonts w:ascii="仿宋_GB2312" w:hAnsi="仿宋_GB2312"/>
    </w:rPr>
  </w:style>
  <w:style w:type="paragraph" w:styleId="P4">
    <w:name w:val="正文文本缩进 2"/>
    <w:basedOn w:val="P1"/>
    <w:next w:val="P4"/>
    <w:link w:val="C22"/>
    <w:pPr>
      <w:spacing w:lineRule="auto" w:line="480" w:after="120"/>
      <w:ind w:left="420"/>
    </w:pPr>
    <w:rPr/>
  </w:style>
  <w:style w:type="paragraph" w:styleId="P5">
    <w:name w:val="正文文本 2"/>
    <w:basedOn w:val="P1"/>
    <w:next w:val="P5"/>
    <w:link w:val="C16"/>
    <w:pPr>
      <w:spacing w:lineRule="auto" w:line="480" w:after="120"/>
    </w:pPr>
    <w:rPr/>
  </w:style>
  <w:style w:type="paragraph" w:styleId="P6">
    <w:name w:val="页眉"/>
    <w:basedOn w:val="P1"/>
    <w:next w:val="P6"/>
    <w:link w:val="C29"/>
    <w:pPr>
      <w:pBdr>
        <w:bottom w:val="single" w:sz="6" w:space="0" w:shadow="0" w:frame="0"/>
      </w:pBdr>
      <w:tabs>
        <w:tab w:val="center" w:pos="4153" w:leader="none"/>
        <w:tab w:val="right" w:pos="8306" w:leader="none"/>
      </w:tabs>
      <w:jc w:val="center"/>
    </w:pPr>
    <w:rPr>
      <w:sz w:val="18"/>
    </w:rPr>
  </w:style>
  <w:style w:type="paragraph" w:styleId="P7">
    <w:name w:val="文档结构图"/>
    <w:basedOn w:val="P1"/>
    <w:next w:val="P7"/>
    <w:pPr>
      <w:shd w:val="clear" w:fill="000080"/>
    </w:pPr>
    <w:rPr/>
  </w:style>
  <w:style w:type="paragraph" w:styleId="P8">
    <w:name w:val="正文文本缩进"/>
    <w:basedOn w:val="P1"/>
    <w:next w:val="P8"/>
    <w:link w:val="C10"/>
    <w:pPr>
      <w:spacing w:after="120"/>
      <w:ind w:left="420"/>
    </w:pPr>
    <w:rPr/>
  </w:style>
  <w:style w:type="paragraph" w:styleId="P9">
    <w:name w:val="页脚"/>
    <w:basedOn w:val="P1"/>
    <w:next w:val="P9"/>
    <w:link w:val="C17"/>
    <w:pPr>
      <w:widowControl w:val="1"/>
      <w:tabs>
        <w:tab w:val="center" w:pos="4153" w:leader="none"/>
        <w:tab w:val="right" w:pos="8306" w:leader="none"/>
      </w:tabs>
      <w:jc w:val="left"/>
    </w:pPr>
    <w:rPr>
      <w:rFonts w:ascii="宋体" w:hAnsi="宋体"/>
      <w:sz w:val="18"/>
    </w:rPr>
  </w:style>
  <w:style w:type="paragraph" w:styleId="P10">
    <w:name w:val="纯文本"/>
    <w:basedOn w:val="P1"/>
    <w:next w:val="P10"/>
    <w:link w:val="C13"/>
    <w:pPr/>
    <w:rPr>
      <w:rFonts w:ascii="华文宋体" w:hAnsi="华文宋体"/>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正文文本"/>
    <w:basedOn w:val="P1"/>
    <w:next w:val="P12"/>
    <w:link w:val="C26"/>
    <w:pPr/>
    <w:rPr/>
  </w:style>
  <w:style w:type="paragraph" w:styleId="P13">
    <w:name w:val="正文文本缩进 3"/>
    <w:basedOn w:val="P1"/>
    <w:next w:val="P13"/>
    <w:link w:val="C28"/>
    <w:pPr>
      <w:spacing w:after="120"/>
      <w:ind w:left="420"/>
    </w:pPr>
    <w:rPr>
      <w:sz w:val="16"/>
    </w:rPr>
  </w:style>
  <w:style w:type="paragraph" w:styleId="P14">
    <w:name w:val="普通(网站)"/>
    <w:basedOn w:val="P1"/>
    <w:next w:val="P14"/>
    <w:link w:val="C23"/>
    <w:pPr>
      <w:widowControl w:val="1"/>
      <w:spacing w:before="100" w:after="100" w:beforeAutospacing="1" w:afterAutospacing="1"/>
      <w:jc w:val="left"/>
    </w:pPr>
    <w:rPr>
      <w:rFonts w:ascii="宋体" w:hAnsi="宋体"/>
      <w:sz w:val="24"/>
    </w:rPr>
  </w:style>
  <w:style w:type="paragraph" w:styleId="P15">
    <w:name w:val="juzhong"/>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Char"/>
    <w:basedOn w:val="P1"/>
    <w:next w:val="P17"/>
    <w:pPr/>
    <w:rPr>
      <w:rFonts w:ascii="Tahoma" w:hAnsi="Tahoma"/>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_Style 10"/>
    <w:basedOn w:val="P1"/>
    <w:next w:val="P14"/>
    <w:pPr>
      <w:widowControl w:val="1"/>
      <w:spacing w:before="100" w:after="100" w:beforeAutospacing="1" w:afterAutospacing="1"/>
      <w:jc w:val="left"/>
    </w:pPr>
    <w:rPr>
      <w:rFonts w:ascii="Arial Unicode MS" w:hAnsi="Arial Unicode MS"/>
      <w:sz w:val="24"/>
    </w:rPr>
  </w:style>
  <w:style w:type="paragraph" w:styleId="P22">
    <w:name w:val="msonormalcxspmiddlecxspmiddlecxspmiddle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21"/>
    <w:pPr/>
    <w:rPr>
      <w:rFonts w:ascii="仿宋_GB2312" w:hAnsi="仿宋_GB2312"/>
      <w:b w:val="1"/>
      <w:color w:val="000000"/>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last"/>
    <w:basedOn w:val="P1"/>
    <w:next w:val="P31"/>
    <w:pPr>
      <w:widowControl w:val="1"/>
      <w:spacing w:before="100" w:after="100" w:beforeAutospacing="1" w:afterAutospacing="1"/>
      <w:jc w:val="left"/>
    </w:pPr>
    <w:rPr>
      <w:rFonts w:ascii="宋体" w:hAnsi="宋体"/>
      <w:sz w:val="24"/>
    </w:rPr>
  </w:style>
  <w:style w:type="paragraph" w:styleId="P32">
    <w:name w:val="zhang"/>
    <w:basedOn w:val="P1"/>
    <w:next w:val="P32"/>
    <w:pPr>
      <w:widowControl w:val="1"/>
      <w:spacing w:before="100" w:after="100" w:beforeAutospacing="1" w:afterAutospacing="1"/>
      <w:jc w:val="left"/>
    </w:pPr>
    <w:rPr>
      <w:rFonts w:ascii="宋体" w:hAnsi="宋体"/>
      <w:b w:val="1"/>
      <w:color w:val="000000"/>
      <w:sz w:val="20"/>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列出段落"/>
    <w:basedOn w:val="P1"/>
    <w:next w:val="P36"/>
    <w:qFormat/>
    <w:pPr>
      <w:ind w:firstLine="420"/>
    </w:pPr>
    <w:rPr>
      <w:sz w:val="21"/>
    </w:rPr>
  </w:style>
  <w:style w:type="paragraph" w:styleId="P37">
    <w:name w:val="msonormal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Char Char Char Char"/>
    <w:basedOn w:val="P1"/>
    <w:next w:val="P39"/>
    <w:pPr>
      <w:widowControl w:val="1"/>
      <w:spacing w:lineRule="exact" w:line="240" w:after="160"/>
      <w:jc w:val="left"/>
    </w:pPr>
    <w:rPr>
      <w:rFonts w:ascii="Verdana" w:hAnsi="Verdana"/>
      <w:sz w:val="20"/>
    </w:rPr>
  </w:style>
  <w:style w:type="paragraph" w:styleId="P40">
    <w:name w:val="msonormalcxspmiddlecxsplast"/>
    <w:basedOn w:val="P1"/>
    <w:next w:val="P40"/>
    <w:pPr>
      <w:widowControl w:val="1"/>
      <w:spacing w:before="100" w:after="100" w:beforeAutospacing="1" w:afterAutospacing="1"/>
      <w:jc w:val="left"/>
    </w:pPr>
    <w:rPr>
      <w:rFonts w:ascii="宋体" w:hAnsi="宋体"/>
      <w:sz w:val="24"/>
    </w:rPr>
  </w:style>
  <w:style w:type="paragraph" w:styleId="P41">
    <w:name w:val="样式1"/>
    <w:basedOn w:val="P10"/>
    <w:next w:val="P41"/>
    <w:link w:val="C44"/>
    <w:qFormat/>
    <w:pPr>
      <w:ind w:firstLine="632"/>
    </w:pPr>
    <w:rPr>
      <w:rFonts w:ascii="楷体_GB2312" w:hAnsi="楷体_GB2312"/>
    </w:rPr>
  </w:style>
  <w:style w:type="paragraph" w:styleId="P42">
    <w:name w:val="标题3"/>
    <w:basedOn w:val="P10"/>
    <w:next w:val="P42"/>
    <w:link w:val="C43"/>
    <w:qFormat/>
    <w:pPr>
      <w:ind w:firstLine="632"/>
      <w:jc w:val="center"/>
    </w:pPr>
    <w:rPr>
      <w:rFonts w:ascii="黑体" w:hAnsi="黑体"/>
    </w:rPr>
  </w:style>
  <w:style w:type="paragraph" w:styleId="P43">
    <w:name w:val="标题1"/>
    <w:basedOn w:val="P14"/>
    <w:next w:val="P43"/>
    <w:link w:val="C46"/>
    <w:qFormat/>
    <w:pPr>
      <w:spacing w:lineRule="exact" w:line="600"/>
      <w:jc w:val="center"/>
    </w:pPr>
    <w:rPr>
      <w:rFonts w:ascii="方正小标宋简体" w:hAnsi="方正小标宋简体"/>
      <w:color w:val="000000"/>
      <w:sz w:val="32"/>
    </w:rPr>
  </w:style>
  <w:style w:type="paragraph" w:styleId="P44">
    <w:name w:val="标题2"/>
    <w:basedOn w:val="P14"/>
    <w:next w:val="P44"/>
    <w:link w:val="C47"/>
    <w:pPr>
      <w:widowControl w:val="0"/>
      <w:jc w:val="center"/>
    </w:pPr>
    <w:rPr>
      <w:rFonts w:ascii="楷体_GB2312" w:hAnsi="楷体_GB2312"/>
      <w:color w:val="000000"/>
      <w:sz w:val="32"/>
    </w:rPr>
  </w:style>
  <w:style w:type="paragraph" w:styleId="P45">
    <w:name w:val="样式3"/>
    <w:basedOn w:val="P23"/>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正文文本 Char1"/>
    <w:basedOn w:val="C3"/>
    <w:rPr>
      <w:rFonts w:ascii="Times New Roman" w:hAnsi="Times New Roman"/>
      <w:sz w:val="32"/>
    </w:rPr>
  </w:style>
  <w:style w:type="character" w:styleId="C9">
    <w:name w:val="批注框文本 Char"/>
    <w:basedOn w:val="C3"/>
    <w:link w:val="P2"/>
    <w:rPr>
      <w:sz w:val="18"/>
    </w:rPr>
  </w:style>
  <w:style w:type="character" w:styleId="C10">
    <w:name w:val="正文文本缩进 Char"/>
    <w:basedOn w:val="C3"/>
    <w:link w:val="P8"/>
    <w:rPr/>
  </w:style>
  <w:style w:type="character" w:styleId="C11">
    <w:name w:val="正文文本缩进 3 Char Char"/>
    <w:basedOn w:val="C3"/>
    <w:rPr>
      <w:sz w:val="32"/>
    </w:rPr>
  </w:style>
  <w:style w:type="character" w:styleId="C12">
    <w:name w:val="纯文本 Char1"/>
    <w:basedOn w:val="C3"/>
    <w:rPr>
      <w:rFonts w:ascii="宋体" w:hAnsi="宋体"/>
      <w:sz w:val="21"/>
    </w:rPr>
  </w:style>
  <w:style w:type="character" w:styleId="C13">
    <w:name w:val="纯文本 Char"/>
    <w:basedOn w:val="C3"/>
    <w:link w:val="P10"/>
    <w:rPr>
      <w:rFonts w:ascii="华文宋体" w:hAnsi="华文宋体"/>
    </w:rPr>
  </w:style>
  <w:style w:type="character" w:styleId="C14">
    <w:name w:val="HTML 预设格式 Char Char"/>
    <w:basedOn w:val="C3"/>
    <w:rPr>
      <w:rFonts w:ascii="宋体" w:hAnsi="宋体"/>
      <w:sz w:val="24"/>
    </w:rPr>
  </w:style>
  <w:style w:type="character" w:styleId="C15">
    <w:name w:val="日期 Char Char"/>
    <w:basedOn w:val="C3"/>
    <w:rPr>
      <w:rFonts w:ascii="仿宋_GB2312" w:hAnsi="仿宋_GB2312"/>
      <w:sz w:val="32"/>
    </w:rPr>
  </w:style>
  <w:style w:type="character" w:styleId="C16">
    <w:name w:val="正文文本 2 Char"/>
    <w:basedOn w:val="C3"/>
    <w:link w:val="P5"/>
    <w:rPr/>
  </w:style>
  <w:style w:type="character" w:styleId="C17">
    <w:name w:val="页脚 Char"/>
    <w:basedOn w:val="C3"/>
    <w:link w:val="P9"/>
    <w:rPr>
      <w:rFonts w:ascii="宋体" w:hAnsi="宋体"/>
      <w:sz w:val="18"/>
    </w:rPr>
  </w:style>
  <w:style w:type="character" w:styleId="C18">
    <w:name w:val="正文文本 Char Char"/>
    <w:basedOn w:val="C3"/>
    <w:rPr>
      <w:sz w:val="32"/>
    </w:rPr>
  </w:style>
  <w:style w:type="character" w:styleId="C19">
    <w:name w:val="纯文本 Char Char"/>
    <w:basedOn w:val="C3"/>
    <w:rPr>
      <w:rFonts w:ascii="宋体" w:hAnsi="宋体"/>
      <w:sz w:val="32"/>
    </w:rPr>
  </w:style>
  <w:style w:type="character" w:styleId="C20">
    <w:name w:val="Char Char4"/>
    <w:basedOn w:val="C3"/>
    <w:rPr>
      <w:rFonts w:ascii="文星仿宋" w:hAnsi="文星仿宋"/>
      <w:sz w:val="32"/>
    </w:rPr>
  </w:style>
  <w:style w:type="character" w:styleId="C21">
    <w:name w:val="样式2 Char Char"/>
    <w:basedOn w:val="C3"/>
    <w:link w:val="P23"/>
    <w:rPr>
      <w:rFonts w:ascii="仿宋_GB2312" w:hAnsi="仿宋_GB2312"/>
      <w:b w:val="1"/>
      <w:color w:val="000000"/>
    </w:rPr>
  </w:style>
  <w:style w:type="character" w:styleId="C22">
    <w:name w:val="正文文本缩进 2 Char"/>
    <w:basedOn w:val="C3"/>
    <w:link w:val="P4"/>
    <w:rPr/>
  </w:style>
  <w:style w:type="character" w:styleId="C23">
    <w:name w:val="普通(网站) Char"/>
    <w:basedOn w:val="C3"/>
    <w:link w:val="P14"/>
    <w:rPr>
      <w:rFonts w:ascii="宋体" w:hAnsi="宋体"/>
      <w:sz w:val="24"/>
    </w:rPr>
  </w:style>
  <w:style w:type="character" w:styleId="C24">
    <w:name w:val="Char Char7"/>
    <w:basedOn w:val="C3"/>
    <w:rPr>
      <w:rFonts w:ascii="宋体" w:hAnsi="宋体"/>
      <w:sz w:val="21"/>
    </w:rPr>
  </w:style>
  <w:style w:type="character" w:styleId="C25">
    <w:name w:val="Char Char8"/>
    <w:basedOn w:val="C3"/>
    <w:rPr>
      <w:rFonts w:ascii="宋体" w:hAnsi="宋体"/>
      <w:sz w:val="24"/>
    </w:rPr>
  </w:style>
  <w:style w:type="character" w:styleId="C26">
    <w:name w:val="正文文本 Char"/>
    <w:basedOn w:val="C3"/>
    <w:link w:val="P12"/>
    <w:rPr/>
  </w:style>
  <w:style w:type="character" w:styleId="C27">
    <w:name w:val="test1"/>
    <w:basedOn w:val="C3"/>
    <w:rPr>
      <w:sz w:val="25"/>
    </w:rPr>
  </w:style>
  <w:style w:type="character" w:styleId="C28">
    <w:name w:val="正文文本缩进 3 Char"/>
    <w:basedOn w:val="C3"/>
    <w:link w:val="P13"/>
    <w:rPr>
      <w:sz w:val="16"/>
    </w:rPr>
  </w:style>
  <w:style w:type="character" w:styleId="C29">
    <w:name w:val="页眉 Char"/>
    <w:basedOn w:val="C3"/>
    <w:link w:val="P6"/>
    <w:rPr>
      <w:sz w:val="18"/>
    </w:rPr>
  </w:style>
  <w:style w:type="character" w:styleId="C30">
    <w:name w:val="页眉 Char Char"/>
    <w:basedOn w:val="C3"/>
    <w:rPr>
      <w:sz w:val="18"/>
    </w:rPr>
  </w:style>
  <w:style w:type="character" w:styleId="C31">
    <w:name w:val="样式2 Char"/>
    <w:basedOn w:val="C3"/>
    <w:rPr>
      <w:rFonts w:ascii="仿宋_GB2312" w:hAnsi="仿宋_GB2312"/>
      <w:b w:val="1"/>
      <w:color w:val="000000"/>
      <w:sz w:val="32"/>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12"/>
    <w:rPr>
      <w:rFonts w:ascii="黑体" w:hAnsi="黑体"/>
      <w:sz w:val="32"/>
    </w:rPr>
  </w:style>
  <w:style w:type="character" w:styleId="C42">
    <w:name w:val="样式1 Char"/>
    <w:basedOn w:val="C12"/>
    <w:rPr>
      <w:rFonts w:ascii="楷体_GB2312" w:hAnsi="楷体_GB2312"/>
      <w:sz w:val="32"/>
    </w:rPr>
  </w:style>
  <w:style w:type="character" w:styleId="C43">
    <w:name w:val="标题3 Char Char"/>
    <w:basedOn w:val="C13"/>
    <w:link w:val="P42"/>
    <w:rPr>
      <w:rFonts w:ascii="黑体" w:hAnsi="黑体"/>
    </w:rPr>
  </w:style>
  <w:style w:type="character" w:styleId="C44">
    <w:name w:val="样式1 Char Char"/>
    <w:basedOn w:val="C13"/>
    <w:link w:val="P41"/>
    <w:rPr>
      <w:rFonts w:ascii="楷体_GB2312" w:hAnsi="楷体_GB2312"/>
    </w:rPr>
  </w:style>
  <w:style w:type="character" w:styleId="C45">
    <w:name w:val="样式3 Char Char"/>
    <w:basedOn w:val="C21"/>
    <w:link w:val="P45"/>
    <w:rPr/>
  </w:style>
  <w:style w:type="character" w:styleId="C46">
    <w:name w:val="标题1 Char Char"/>
    <w:basedOn w:val="C23"/>
    <w:link w:val="P43"/>
    <w:rPr>
      <w:rFonts w:ascii="方正小标宋简体" w:hAnsi="方正小标宋简体"/>
      <w:color w:val="000000"/>
      <w:sz w:val="32"/>
    </w:rPr>
  </w:style>
  <w:style w:type="character" w:styleId="C47">
    <w:name w:val="标题2 Char Char"/>
    <w:basedOn w:val="C23"/>
    <w:link w:val="P44"/>
    <w:rPr>
      <w:rFonts w:ascii="楷体_GB2312" w:hAnsi="楷体_GB2312"/>
      <w:color w:val="000000"/>
      <w:sz w:val="32"/>
    </w:rPr>
  </w:style>
  <w:style w:type="character" w:styleId="C48">
    <w:name w:val="标题1 Char"/>
    <w:basedOn w:val="C23"/>
    <w:rPr>
      <w:rFonts w:ascii="方正小标宋简体" w:hAnsi="方正小标宋简体"/>
      <w:color w:val="000000"/>
      <w:sz w:val="32"/>
    </w:rPr>
  </w:style>
  <w:style w:type="character" w:styleId="C49">
    <w:name w:val="标题2 Char"/>
    <w:basedOn w:val="C23"/>
    <w:rPr>
      <w:rFonts w:ascii="楷体_GB2312" w:hAnsi="楷体_GB2312"/>
      <w:color w:val="000000"/>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