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A202963" Type="http://schemas.openxmlformats.org/officeDocument/2006/relationships/officeDocument" Target="/word/document.xml" /><Relationship Id="coreRA202963" Type="http://schemas.openxmlformats.org/package/2006/relationships/metadata/core-properties" Target="/docProps/core.xml" /><Relationship Id="customRA20296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600"/>
        <w:jc w:val="both"/>
        <w:rPr>
          <w:rStyle w:val="C3"/>
          <w:rFonts w:ascii="宋体" w:hAnsi="宋体"/>
          <w:b w:val="1"/>
          <w:color w:val="auto"/>
          <w:sz w:val="44"/>
        </w:rPr>
      </w:pPr>
    </w:p>
    <w:p>
      <w:pPr>
        <w:pStyle w:val="P1"/>
        <w:spacing w:lineRule="exact" w:line="600"/>
        <w:jc w:val="center"/>
        <w:rPr>
          <w:rStyle w:val="C3"/>
          <w:rFonts w:ascii="宋体" w:hAnsi="宋体"/>
          <w:b w:val="0"/>
          <w:sz w:val="44"/>
        </w:rPr>
      </w:pPr>
      <w:r>
        <w:rPr>
          <w:rStyle w:val="C3"/>
          <w:rFonts w:ascii="宋体" w:hAnsi="宋体"/>
          <w:b w:val="0"/>
          <w:color w:val="auto"/>
          <w:sz w:val="44"/>
        </w:rPr>
        <w:t>吉林省人民代表大会常务委员会</w:t>
      </w:r>
      <w:r>
        <w:rPr>
          <w:rStyle w:val="C3"/>
          <w:rFonts w:ascii="宋体" w:hAnsi="宋体"/>
          <w:b w:val="0"/>
          <w:sz w:val="44"/>
        </w:rPr>
        <w:t>关于修改《吉林省各级人民代表大会常务委员会</w:t>
      </w:r>
    </w:p>
    <w:p>
      <w:pPr>
        <w:pStyle w:val="P1"/>
        <w:spacing w:lineRule="exact" w:line="600"/>
        <w:jc w:val="center"/>
        <w:rPr>
          <w:rStyle w:val="C3"/>
          <w:rFonts w:ascii="宋体" w:hAnsi="宋体"/>
          <w:b w:val="0"/>
          <w:sz w:val="44"/>
        </w:rPr>
      </w:pPr>
      <w:r>
        <w:rPr>
          <w:rStyle w:val="C3"/>
          <w:rFonts w:ascii="宋体" w:hAnsi="宋体"/>
          <w:b w:val="0"/>
          <w:sz w:val="44"/>
        </w:rPr>
        <w:t>规范性文件备案审查条例》的决定</w:t>
      </w:r>
    </w:p>
    <w:p>
      <w:pPr>
        <w:pStyle w:val="P1"/>
        <w:keepNext w:val="0"/>
        <w:keepLines w:val="0"/>
        <w:widowControl w:val="0"/>
        <w:spacing w:lineRule="exact" w:line="560"/>
        <w:ind w:firstLine="0" w:left="0" w:right="0"/>
        <w:jc w:val="center"/>
        <w:rPr>
          <w:rStyle w:val="C3"/>
          <w:rFonts w:ascii="仿宋" w:hAnsi="仿宋"/>
          <w:sz w:val="32"/>
        </w:rPr>
      </w:pPr>
    </w:p>
    <w:p>
      <w:pPr>
        <w:pStyle w:val="P1"/>
        <w:keepNext w:val="0"/>
        <w:keepLines w:val="0"/>
        <w:widowControl w:val="0"/>
        <w:spacing w:lineRule="exact" w:line="560"/>
        <w:ind w:firstLine="0" w:left="420" w:right="420"/>
        <w:jc w:val="both"/>
        <w:rPr>
          <w:rStyle w:val="C3"/>
          <w:rFonts w:ascii="楷体" w:hAnsi="楷体"/>
          <w:sz w:val="32"/>
        </w:rPr>
      </w:pPr>
      <w:r>
        <w:rPr>
          <w:rStyle w:val="C3"/>
          <w:rFonts w:ascii="楷体" w:hAnsi="楷体"/>
          <w:sz w:val="32"/>
        </w:rPr>
        <w:t>（2022年9月28日吉林省第十三届人民代表大会</w:t>
      </w:r>
    </w:p>
    <w:p>
      <w:pPr>
        <w:pStyle w:val="P1"/>
        <w:keepNext w:val="0"/>
        <w:keepLines w:val="0"/>
        <w:widowControl w:val="0"/>
        <w:spacing w:lineRule="exact" w:line="600"/>
        <w:ind w:left="420" w:right="420"/>
        <w:jc w:val="both"/>
        <w:rPr>
          <w:rStyle w:val="C3"/>
          <w:rFonts w:ascii="楷体" w:hAnsi="楷体"/>
          <w:b w:val="1"/>
          <w:sz w:val="32"/>
        </w:rPr>
      </w:pPr>
      <w:r>
        <w:rPr>
          <w:rStyle w:val="C3"/>
          <w:rFonts w:ascii="楷体" w:hAnsi="楷体"/>
          <w:sz w:val="32"/>
        </w:rPr>
        <w:t>常务委员会第三十六次会议通过）</w:t>
      </w:r>
    </w:p>
    <w:p>
      <w:pPr>
        <w:pStyle w:val="P1"/>
        <w:keepNext w:val="0"/>
        <w:keepLines w:val="0"/>
        <w:widowControl w:val="0"/>
        <w:spacing w:lineRule="exact" w:line="560"/>
        <w:ind w:firstLine="0" w:left="0" w:right="0"/>
        <w:jc w:val="center"/>
        <w:rPr>
          <w:rStyle w:val="C3"/>
          <w:rFonts w:ascii="仿宋" w:hAnsi="仿宋"/>
          <w:sz w:val="32"/>
        </w:rPr>
      </w:pPr>
    </w:p>
    <w:p>
      <w:pPr>
        <w:pStyle w:val="P1"/>
        <w:spacing w:lineRule="exact" w:line="600"/>
        <w:ind w:firstLine="640"/>
        <w:jc w:val="both"/>
        <w:rPr>
          <w:rStyle w:val="C3"/>
          <w:rFonts w:ascii="仿宋" w:hAnsi="仿宋"/>
          <w:b w:val="0"/>
          <w:sz w:val="32"/>
        </w:rPr>
      </w:pPr>
      <w:r>
        <w:rPr>
          <w:rStyle w:val="C3"/>
          <w:rFonts w:ascii="仿宋" w:hAnsi="仿宋"/>
          <w:b w:val="0"/>
          <w:sz w:val="32"/>
        </w:rPr>
        <w:t>吉林省第十三届人民代表大会常务委员会第三十六次会议决定对《吉林省各级人民代表大会常务委员会规范性文件备案审查条例》作如下修改：</w:t>
      </w:r>
    </w:p>
    <w:p>
      <w:pPr>
        <w:pStyle w:val="P1"/>
        <w:shd w:val="clear" w:fill="FFFFFF"/>
        <w:ind w:firstLine="640"/>
        <w:rPr>
          <w:rStyle w:val="C3"/>
          <w:rFonts w:ascii="仿宋" w:hAnsi="仿宋"/>
          <w:sz w:val="32"/>
        </w:rPr>
      </w:pPr>
      <w:r>
        <w:rPr>
          <w:rStyle w:val="C3"/>
          <w:rFonts w:ascii="黑体" w:hAnsi="黑体"/>
          <w:sz w:val="32"/>
        </w:rPr>
        <w:t>一、</w:t>
      </w:r>
      <w:r>
        <w:rPr>
          <w:rStyle w:val="C3"/>
          <w:rFonts w:ascii="仿宋" w:hAnsi="仿宋"/>
          <w:sz w:val="32"/>
        </w:rPr>
        <w:t>在第一条“中华人民共和国立法法”前增加“中华人民共和国地方各级人民代表大会和地方各级人民政府组织法”。</w:t>
      </w:r>
    </w:p>
    <w:p>
      <w:pPr>
        <w:pStyle w:val="P1"/>
        <w:shd w:val="clear" w:fill="FFFFFF"/>
        <w:ind w:firstLine="640"/>
        <w:rPr>
          <w:rStyle w:val="C3"/>
          <w:rFonts w:ascii="仿宋" w:hAnsi="仿宋"/>
          <w:sz w:val="32"/>
        </w:rPr>
      </w:pPr>
      <w:r>
        <w:rPr>
          <w:rStyle w:val="C3"/>
          <w:rFonts w:ascii="黑体" w:hAnsi="黑体"/>
          <w:sz w:val="32"/>
        </w:rPr>
        <w:t>二、</w:t>
      </w:r>
      <w:r>
        <w:rPr>
          <w:rStyle w:val="C3"/>
          <w:rFonts w:ascii="仿宋" w:hAnsi="仿宋"/>
          <w:sz w:val="32"/>
        </w:rPr>
        <w:t>在第三条中“县级以上人民政府”后增加“监察委员会、人民法院、人民检察院”。</w:t>
      </w:r>
    </w:p>
    <w:p>
      <w:pPr>
        <w:pStyle w:val="P1"/>
        <w:ind w:firstLine="0" w:left="638"/>
        <w:rPr>
          <w:rStyle w:val="C3"/>
          <w:rFonts w:ascii="仿宋" w:hAnsi="仿宋"/>
          <w:sz w:val="32"/>
        </w:rPr>
      </w:pPr>
      <w:r>
        <w:rPr>
          <w:rStyle w:val="C3"/>
          <w:rFonts w:ascii="黑体" w:hAnsi="黑体"/>
          <w:sz w:val="32"/>
        </w:rPr>
        <w:t>三、</w:t>
      </w:r>
      <w:r>
        <w:rPr>
          <w:rStyle w:val="C3"/>
          <w:rFonts w:ascii="仿宋" w:hAnsi="仿宋"/>
          <w:sz w:val="32"/>
        </w:rPr>
        <w:t>将第四条增加三项，作为第五项、第六项和第七项：</w:t>
      </w:r>
    </w:p>
    <w:p>
      <w:pPr>
        <w:pStyle w:val="P1"/>
        <w:ind w:firstLine="640"/>
        <w:rPr>
          <w:rStyle w:val="C3"/>
          <w:rFonts w:ascii="仿宋" w:hAnsi="仿宋"/>
          <w:sz w:val="32"/>
        </w:rPr>
      </w:pPr>
      <w:r>
        <w:rPr>
          <w:rStyle w:val="C3"/>
          <w:rFonts w:ascii="仿宋" w:hAnsi="仿宋"/>
          <w:sz w:val="32"/>
        </w:rPr>
        <w:t>“（五）县级以上监察委员会制定或者由其会同有关国家机关制定的规范监察工作的规范性文件；</w:t>
      </w:r>
    </w:p>
    <w:p>
      <w:pPr>
        <w:pStyle w:val="P1"/>
        <w:ind w:firstLine="640"/>
        <w:rPr>
          <w:rStyle w:val="C3"/>
          <w:rFonts w:ascii="仿宋" w:hAnsi="仿宋"/>
          <w:sz w:val="32"/>
        </w:rPr>
      </w:pPr>
      <w:r>
        <w:rPr>
          <w:rStyle w:val="C3"/>
          <w:rFonts w:ascii="仿宋" w:hAnsi="仿宋"/>
          <w:sz w:val="32"/>
        </w:rPr>
        <w:t>“（六）县级以上人民法院、人民检察院制定或者由其会同有关国家机关制定的规范审判、检察工作的规范性文件；</w:t>
      </w:r>
    </w:p>
    <w:p>
      <w:pPr>
        <w:pStyle w:val="P1"/>
        <w:ind w:firstLine="640"/>
        <w:rPr>
          <w:rStyle w:val="C3"/>
          <w:rFonts w:ascii="仿宋" w:hAnsi="仿宋"/>
          <w:sz w:val="32"/>
        </w:rPr>
      </w:pPr>
      <w:r>
        <w:rPr>
          <w:rStyle w:val="C3"/>
          <w:rFonts w:ascii="仿宋" w:hAnsi="仿宋"/>
          <w:sz w:val="32"/>
        </w:rPr>
        <w:t>“（七）依法应当报送备案的其他规范性文件。”</w:t>
      </w:r>
    </w:p>
    <w:p>
      <w:pPr>
        <w:pStyle w:val="P1"/>
        <w:ind w:firstLine="640"/>
        <w:rPr>
          <w:rStyle w:val="C3"/>
          <w:rFonts w:ascii="仿宋" w:hAnsi="仿宋"/>
          <w:sz w:val="32"/>
        </w:rPr>
      </w:pPr>
      <w:r>
        <w:rPr>
          <w:rStyle w:val="C3"/>
          <w:rFonts w:ascii="黑体" w:hAnsi="黑体"/>
          <w:sz w:val="32"/>
        </w:rPr>
        <w:t>四、</w:t>
      </w:r>
      <w:r>
        <w:rPr>
          <w:rStyle w:val="C3"/>
          <w:rFonts w:ascii="仿宋" w:hAnsi="仿宋"/>
          <w:sz w:val="32"/>
        </w:rPr>
        <w:t>将第六条修改为：“开展备案审查工作应当依照法定权限和程序，坚持有件必备、有备必审、有错必纠的原则。”</w:t>
      </w:r>
    </w:p>
    <w:p>
      <w:pPr>
        <w:pStyle w:val="P1"/>
        <w:ind w:firstLine="640"/>
        <w:rPr>
          <w:rStyle w:val="C3"/>
          <w:rFonts w:ascii="仿宋" w:hAnsi="仿宋"/>
          <w:sz w:val="32"/>
        </w:rPr>
      </w:pPr>
      <w:r>
        <w:rPr>
          <w:rStyle w:val="C3"/>
          <w:rFonts w:ascii="黑体" w:hAnsi="黑体"/>
          <w:sz w:val="32"/>
        </w:rPr>
        <w:t>五、</w:t>
      </w:r>
      <w:r>
        <w:rPr>
          <w:rStyle w:val="C3"/>
          <w:rFonts w:ascii="仿宋" w:hAnsi="仿宋"/>
          <w:sz w:val="32"/>
        </w:rPr>
        <w:t>将第七条改为第八条，增加一款，作为第二款：“</w:t>
      </w:r>
      <w:r>
        <w:rPr>
          <w:rStyle w:val="C3"/>
          <w:rFonts w:ascii="仿宋" w:hAnsi="仿宋"/>
          <w:b w:val="0"/>
          <w:sz w:val="32"/>
        </w:rPr>
        <w:t>备案审查工作机构应当通过备案审查衔接联动机制，加强与同级党委、人民政府、监察委员会、人民法院、人民检察院有关备案审查工作机构的联系和协作</w:t>
      </w:r>
      <w:r>
        <w:rPr>
          <w:rStyle w:val="C3"/>
          <w:rFonts w:ascii="仿宋" w:hAnsi="仿宋"/>
          <w:sz w:val="32"/>
        </w:rPr>
        <w:t>。”</w:t>
      </w:r>
    </w:p>
    <w:p>
      <w:pPr>
        <w:pStyle w:val="P1"/>
        <w:ind w:firstLine="640"/>
        <w:rPr>
          <w:rStyle w:val="C3"/>
          <w:rFonts w:ascii="仿宋" w:hAnsi="仿宋"/>
          <w:sz w:val="32"/>
        </w:rPr>
      </w:pPr>
      <w:r>
        <w:rPr>
          <w:rStyle w:val="C3"/>
          <w:rFonts w:ascii="黑体" w:hAnsi="黑体"/>
          <w:sz w:val="32"/>
        </w:rPr>
        <w:t>六、</w:t>
      </w:r>
      <w:r>
        <w:rPr>
          <w:rStyle w:val="C3"/>
          <w:rFonts w:ascii="仿宋" w:hAnsi="仿宋"/>
          <w:sz w:val="32"/>
        </w:rPr>
        <w:t>将第八条改为第九条，第二款修改为：“规范性文件应当自公布之日起三十日内报送备案。制定机关应当报送一式十份的纸质备案材料及其电子文本。备案材料包括备案报告、规范性文件正式文本、备案说明、制定规范性文件的主要依据及其他参考资料等。电子文本应当符合格式标准和要求。”</w:t>
      </w:r>
    </w:p>
    <w:p>
      <w:pPr>
        <w:pStyle w:val="P1"/>
        <w:ind w:firstLine="640"/>
        <w:rPr>
          <w:rStyle w:val="C3"/>
          <w:rFonts w:ascii="仿宋" w:hAnsi="仿宋"/>
          <w:sz w:val="32"/>
        </w:rPr>
      </w:pPr>
      <w:r>
        <w:rPr>
          <w:rStyle w:val="C3"/>
          <w:rFonts w:ascii="黑体" w:hAnsi="黑体"/>
          <w:sz w:val="32"/>
        </w:rPr>
        <w:t>七、</w:t>
      </w:r>
      <w:r>
        <w:rPr>
          <w:rStyle w:val="C3"/>
          <w:rFonts w:ascii="仿宋" w:hAnsi="仿宋"/>
          <w:sz w:val="32"/>
        </w:rPr>
        <w:t>将第十条改为第十一条，第二款修改为：“主要审查规范性文件是否存在下列情形:</w:t>
      </w:r>
    </w:p>
    <w:p>
      <w:pPr>
        <w:pStyle w:val="P1"/>
        <w:ind w:firstLine="640"/>
        <w:rPr>
          <w:rStyle w:val="C3"/>
          <w:rFonts w:ascii="仿宋" w:hAnsi="仿宋"/>
          <w:sz w:val="32"/>
        </w:rPr>
      </w:pPr>
      <w:r>
        <w:rPr>
          <w:rStyle w:val="C3"/>
          <w:rFonts w:ascii="仿宋" w:hAnsi="仿宋"/>
          <w:sz w:val="32"/>
        </w:rPr>
        <w:t>“（一）与党中央的重大决策部署不相符或者与国家重大改革方向不一致的；</w:t>
      </w:r>
    </w:p>
    <w:p>
      <w:pPr>
        <w:pStyle w:val="P1"/>
        <w:ind w:firstLine="640"/>
        <w:rPr>
          <w:rStyle w:val="C3"/>
          <w:rFonts w:ascii="仿宋" w:hAnsi="仿宋"/>
          <w:sz w:val="32"/>
        </w:rPr>
      </w:pPr>
      <w:r>
        <w:rPr>
          <w:rStyle w:val="C3"/>
          <w:rFonts w:ascii="仿宋" w:hAnsi="仿宋"/>
          <w:sz w:val="32"/>
        </w:rPr>
        <w:t>“（二）违反法定权限的；</w:t>
      </w:r>
    </w:p>
    <w:p>
      <w:pPr>
        <w:pStyle w:val="P1"/>
        <w:ind w:firstLine="640"/>
        <w:rPr>
          <w:rStyle w:val="C3"/>
          <w:rFonts w:ascii="仿宋" w:hAnsi="仿宋"/>
          <w:sz w:val="32"/>
        </w:rPr>
      </w:pPr>
      <w:r>
        <w:rPr>
          <w:rStyle w:val="C3"/>
          <w:rFonts w:ascii="仿宋" w:hAnsi="仿宋"/>
          <w:sz w:val="32"/>
        </w:rPr>
        <w:t>“（三）超越法定权限，限制或者剥夺公民、法人和其他组织的合法权利，或者增加公民、法人和其他组织的义务的；</w:t>
      </w:r>
    </w:p>
    <w:p>
      <w:pPr>
        <w:pStyle w:val="P1"/>
        <w:ind w:firstLine="640"/>
        <w:rPr>
          <w:rStyle w:val="C3"/>
          <w:rFonts w:ascii="仿宋" w:hAnsi="仿宋"/>
          <w:sz w:val="32"/>
        </w:rPr>
      </w:pPr>
      <w:r>
        <w:rPr>
          <w:rStyle w:val="C3"/>
          <w:rFonts w:ascii="仿宋" w:hAnsi="仿宋"/>
          <w:sz w:val="32"/>
        </w:rPr>
        <w:t>“（四）违法设定行政许可、行政处罚、行政强制，或者对上位法设定的行政许可、行政处罚、行政强制违法作出调整和改变的；</w:t>
      </w:r>
    </w:p>
    <w:p>
      <w:pPr>
        <w:pStyle w:val="P1"/>
        <w:ind w:firstLine="640"/>
        <w:rPr>
          <w:rStyle w:val="C3"/>
          <w:rFonts w:ascii="仿宋" w:hAnsi="仿宋"/>
          <w:sz w:val="32"/>
        </w:rPr>
      </w:pPr>
      <w:r>
        <w:rPr>
          <w:rStyle w:val="C3"/>
          <w:rFonts w:ascii="仿宋" w:hAnsi="仿宋"/>
          <w:sz w:val="32"/>
        </w:rPr>
        <w:t>“（五）与法律、法规规定不一致，或者与法律、法规的立法目的、原则相违背，旨在抵消、改变或者规避法律、法规规定的；</w:t>
      </w:r>
    </w:p>
    <w:p>
      <w:pPr>
        <w:pStyle w:val="P1"/>
        <w:ind w:firstLine="640"/>
        <w:rPr>
          <w:rStyle w:val="C3"/>
          <w:rFonts w:ascii="仿宋" w:hAnsi="仿宋"/>
          <w:sz w:val="32"/>
        </w:rPr>
      </w:pPr>
      <w:r>
        <w:rPr>
          <w:rStyle w:val="C3"/>
          <w:rFonts w:ascii="仿宋" w:hAnsi="仿宋"/>
          <w:sz w:val="32"/>
        </w:rPr>
        <w:t>“（六）违背法定程序的；</w:t>
      </w:r>
    </w:p>
    <w:p>
      <w:pPr>
        <w:pStyle w:val="P1"/>
        <w:ind w:firstLine="640"/>
        <w:rPr>
          <w:rStyle w:val="C3"/>
          <w:rFonts w:ascii="仿宋" w:hAnsi="仿宋"/>
          <w:sz w:val="32"/>
        </w:rPr>
      </w:pPr>
      <w:r>
        <w:rPr>
          <w:rStyle w:val="C3"/>
          <w:rFonts w:ascii="仿宋" w:hAnsi="仿宋"/>
          <w:sz w:val="32"/>
        </w:rPr>
        <w:t>“（七）明显违背社会主义核心价值观和公序良俗的；</w:t>
      </w:r>
    </w:p>
    <w:p>
      <w:pPr>
        <w:pStyle w:val="P1"/>
        <w:ind w:firstLine="640"/>
        <w:rPr>
          <w:rStyle w:val="C3"/>
          <w:rFonts w:ascii="仿宋" w:hAnsi="仿宋"/>
          <w:sz w:val="32"/>
        </w:rPr>
      </w:pPr>
      <w:r>
        <w:rPr>
          <w:rStyle w:val="C3"/>
          <w:rFonts w:ascii="仿宋" w:hAnsi="仿宋"/>
          <w:sz w:val="32"/>
        </w:rPr>
        <w:t>“（八）对公民、法人和其他组织的权利和义务的规定明显不合理，或者文件制定目的与手段明显不匹配的；</w:t>
      </w:r>
    </w:p>
    <w:p>
      <w:pPr>
        <w:pStyle w:val="P1"/>
        <w:ind w:firstLine="640"/>
        <w:rPr>
          <w:rStyle w:val="C3"/>
          <w:rFonts w:ascii="仿宋" w:hAnsi="仿宋"/>
          <w:sz w:val="32"/>
        </w:rPr>
      </w:pPr>
      <w:r>
        <w:rPr>
          <w:rStyle w:val="C3"/>
          <w:rFonts w:ascii="仿宋" w:hAnsi="仿宋"/>
          <w:sz w:val="32"/>
        </w:rPr>
        <w:t>“（九）因现实情况发生重大变化而不宜继续施行的；</w:t>
      </w:r>
    </w:p>
    <w:p>
      <w:pPr>
        <w:pStyle w:val="P1"/>
        <w:ind w:firstLine="640"/>
        <w:rPr>
          <w:rStyle w:val="C3"/>
          <w:rFonts w:ascii="仿宋" w:hAnsi="仿宋"/>
          <w:sz w:val="32"/>
        </w:rPr>
      </w:pPr>
      <w:r>
        <w:rPr>
          <w:rStyle w:val="C3"/>
          <w:rFonts w:ascii="仿宋" w:hAnsi="仿宋"/>
          <w:sz w:val="32"/>
        </w:rPr>
        <w:t>“（十）有其他违背法律法规规定，或者明显不适当情形的。”</w:t>
      </w:r>
    </w:p>
    <w:p>
      <w:pPr>
        <w:pStyle w:val="P1"/>
        <w:ind w:firstLine="640"/>
        <w:rPr>
          <w:rStyle w:val="C3"/>
          <w:rFonts w:ascii="黑体" w:hAnsi="黑体"/>
          <w:sz w:val="32"/>
        </w:rPr>
      </w:pPr>
      <w:r>
        <w:rPr>
          <w:rStyle w:val="C3"/>
          <w:rFonts w:ascii="黑体" w:hAnsi="黑体"/>
          <w:sz w:val="32"/>
        </w:rPr>
        <w:t>八、</w:t>
      </w:r>
      <w:r>
        <w:rPr>
          <w:rStyle w:val="C3"/>
          <w:rFonts w:ascii="仿宋" w:hAnsi="仿宋"/>
          <w:b w:val="0"/>
          <w:sz w:val="32"/>
        </w:rPr>
        <w:t>增加一条，作为第十二条：“县级以上人民代表大会专门委员会、常务委员会法制工作机构对规范性文件进行审查，发现规范性文件可能存在违背宪法规定、宪法原则或者宪法精神问题的，由省人民代表大会常务委员会备案审查工作机构及时向全国人民代表大会常务委员会备案审查工作机构报告，按照全国人民代表大会常务委员会审查意见办理。”</w:t>
      </w:r>
    </w:p>
    <w:p>
      <w:pPr>
        <w:pStyle w:val="P1"/>
        <w:ind w:firstLine="576"/>
        <w:rPr>
          <w:rStyle w:val="C3"/>
          <w:rFonts w:ascii="仿宋" w:hAnsi="仿宋"/>
          <w:color w:val="000000"/>
          <w:sz w:val="32"/>
        </w:rPr>
      </w:pPr>
      <w:r>
        <w:rPr>
          <w:rStyle w:val="C3"/>
          <w:rFonts w:ascii="黑体" w:hAnsi="黑体"/>
          <w:color w:val="000000"/>
          <w:sz w:val="32"/>
        </w:rPr>
        <w:t>九、</w:t>
      </w:r>
      <w:r>
        <w:rPr>
          <w:rStyle w:val="C3"/>
          <w:rFonts w:ascii="仿宋" w:hAnsi="仿宋"/>
          <w:color w:val="000000"/>
          <w:sz w:val="32"/>
        </w:rPr>
        <w:t>将第十一条改为第十三条，本条中的“第十条第二款”修改为“第十一条第二款”。</w:t>
      </w:r>
    </w:p>
    <w:p>
      <w:pPr>
        <w:pStyle w:val="P1"/>
        <w:ind w:firstLine="640"/>
        <w:rPr>
          <w:rStyle w:val="C3"/>
          <w:rFonts w:ascii="仿宋" w:hAnsi="仿宋"/>
          <w:sz w:val="32"/>
        </w:rPr>
      </w:pPr>
      <w:r>
        <w:rPr>
          <w:rStyle w:val="C3"/>
          <w:rFonts w:ascii="黑体" w:hAnsi="黑体"/>
          <w:sz w:val="32"/>
        </w:rPr>
        <w:t>十、</w:t>
      </w:r>
      <w:r>
        <w:rPr>
          <w:rStyle w:val="C3"/>
          <w:rFonts w:ascii="仿宋" w:hAnsi="仿宋"/>
          <w:sz w:val="32"/>
        </w:rPr>
        <w:t>将第十五条改为第十七条，第一款中的“规范性文件制定机关”修改为“县级以上人民政府”。</w:t>
      </w:r>
    </w:p>
    <w:p>
      <w:pPr>
        <w:pStyle w:val="P1"/>
        <w:ind w:firstLine="640"/>
        <w:rPr>
          <w:rStyle w:val="C3"/>
          <w:rFonts w:ascii="仿宋" w:hAnsi="仿宋"/>
          <w:sz w:val="32"/>
        </w:rPr>
      </w:pPr>
      <w:r>
        <w:rPr>
          <w:rStyle w:val="C3"/>
          <w:rFonts w:ascii="仿宋" w:hAnsi="仿宋"/>
          <w:sz w:val="32"/>
        </w:rPr>
        <w:t>增加一款，作为第四款：“县级以上监察委员会、人民法院、人民检察院未按照本级人民代表大会专门委员会或者常务委员会法制工作机构审查意见、研究意见，修改或者废止规范性文件，人民代表大会专门委员会或者常务委员会法制工作机构应当向常务委员会主任会议报告，主任会议认为该规范性文件确需修改或者废止的，将审查研究意见交制定机关纠正。制定机关不纠正的，由本级人民代表大会常务委员会依法处理。”</w:t>
      </w:r>
    </w:p>
    <w:p>
      <w:pPr>
        <w:pStyle w:val="P1"/>
        <w:ind w:firstLine="640"/>
        <w:rPr>
          <w:rStyle w:val="C3"/>
          <w:rFonts w:ascii="仿宋" w:hAnsi="仿宋"/>
          <w:sz w:val="32"/>
        </w:rPr>
      </w:pPr>
      <w:r>
        <w:rPr>
          <w:rStyle w:val="C3"/>
          <w:rFonts w:ascii="黑体" w:hAnsi="黑体"/>
          <w:sz w:val="32"/>
        </w:rPr>
        <w:t>十一、</w:t>
      </w:r>
      <w:r>
        <w:rPr>
          <w:rStyle w:val="C3"/>
          <w:rFonts w:ascii="仿宋" w:hAnsi="仿宋"/>
          <w:sz w:val="32"/>
        </w:rPr>
        <w:t>将第十七条改为第十九条，在“人民政府”后增加“监察委员会”，本条中的“第十条第二款”修改为“第十一条第二款”。</w:t>
      </w:r>
    </w:p>
    <w:p>
      <w:pPr>
        <w:pStyle w:val="P1"/>
        <w:ind w:firstLine="640"/>
        <w:rPr>
          <w:rStyle w:val="C3"/>
          <w:rFonts w:ascii="仿宋" w:hAnsi="仿宋"/>
          <w:sz w:val="32"/>
        </w:rPr>
      </w:pPr>
      <w:r>
        <w:rPr>
          <w:rStyle w:val="C3"/>
          <w:rFonts w:ascii="黑体" w:hAnsi="黑体"/>
          <w:sz w:val="32"/>
        </w:rPr>
        <w:t>十二、</w:t>
      </w:r>
      <w:r>
        <w:rPr>
          <w:rStyle w:val="C3"/>
          <w:rFonts w:ascii="仿宋" w:hAnsi="仿宋"/>
          <w:sz w:val="32"/>
        </w:rPr>
        <w:t>将第十八条改为第二十条，本条中的“第十七条”修改为“第十九条”、“第十条第二款”修改为“第十一条第二款”。</w:t>
      </w:r>
    </w:p>
    <w:p>
      <w:pPr>
        <w:pStyle w:val="P1"/>
        <w:ind w:firstLine="640"/>
        <w:rPr>
          <w:rStyle w:val="C3"/>
          <w:rFonts w:ascii="仿宋" w:hAnsi="仿宋"/>
          <w:sz w:val="32"/>
        </w:rPr>
      </w:pPr>
      <w:r>
        <w:rPr>
          <w:rStyle w:val="C3"/>
          <w:rFonts w:ascii="黑体" w:hAnsi="黑体"/>
          <w:sz w:val="32"/>
        </w:rPr>
        <w:t>十三、</w:t>
      </w:r>
      <w:r>
        <w:rPr>
          <w:rStyle w:val="C3"/>
          <w:rFonts w:ascii="仿宋" w:hAnsi="仿宋"/>
          <w:sz w:val="32"/>
        </w:rPr>
        <w:t>将第十九条改为第二十一条，第二款修改为：“对审查要求、审查建议按本条例第十条至第十八条的规定办理。”</w:t>
      </w:r>
    </w:p>
    <w:p>
      <w:pPr>
        <w:pStyle w:val="P12"/>
        <w:widowControl w:val="1"/>
        <w:spacing w:before="0" w:after="0" w:beforeAutospacing="0" w:afterAutospacing="0"/>
        <w:ind w:firstLine="640"/>
        <w:jc w:val="both"/>
        <w:rPr>
          <w:rStyle w:val="C3"/>
          <w:rFonts w:ascii="仿宋" w:hAnsi="仿宋"/>
          <w:sz w:val="32"/>
        </w:rPr>
      </w:pPr>
      <w:r>
        <w:rPr>
          <w:rStyle w:val="C3"/>
          <w:rFonts w:ascii="黑体" w:hAnsi="黑体"/>
          <w:sz w:val="32"/>
        </w:rPr>
        <w:t>十四、</w:t>
      </w:r>
      <w:r>
        <w:rPr>
          <w:rStyle w:val="C3"/>
          <w:rFonts w:ascii="仿宋" w:hAnsi="仿宋"/>
          <w:sz w:val="32"/>
        </w:rPr>
        <w:t>增加一条，作为第二十四条：“县级以上人民代表大会专门委员会、常务委员会法制工作机构对事关重大改革和政策调整、涉及法律重要修改、关系公众切身利益、引发社会广泛关注等方面的规范性文件，可以组织开展专项审查。</w:t>
      </w:r>
    </w:p>
    <w:p>
      <w:pPr>
        <w:pStyle w:val="P10"/>
        <w:ind w:firstLine="640"/>
        <w:rPr>
          <w:rStyle w:val="C3"/>
          <w:rFonts w:ascii="仿宋" w:hAnsi="仿宋"/>
          <w:sz w:val="32"/>
        </w:rPr>
      </w:pPr>
      <w:r>
        <w:rPr>
          <w:rStyle w:val="C3"/>
          <w:rFonts w:ascii="仿宋" w:hAnsi="仿宋"/>
          <w:sz w:val="32"/>
        </w:rPr>
        <w:t>“县级以上人民代表大会专门委员会、常务委员会法制工作机构在规范性文件审查过程中，发现可能存在共性问题的，可以一并对相关规范性文件进行专项审查。”</w:t>
      </w:r>
    </w:p>
    <w:p>
      <w:pPr>
        <w:pStyle w:val="P10"/>
        <w:ind w:firstLine="640"/>
        <w:rPr>
          <w:rStyle w:val="C3"/>
          <w:rFonts w:ascii="仿宋" w:hAnsi="仿宋"/>
          <w:sz w:val="32"/>
        </w:rPr>
      </w:pPr>
      <w:r>
        <w:rPr>
          <w:rStyle w:val="C3"/>
          <w:rFonts w:ascii="黑体" w:hAnsi="黑体"/>
          <w:sz w:val="32"/>
        </w:rPr>
        <w:t>十五、</w:t>
      </w:r>
      <w:r>
        <w:rPr>
          <w:rStyle w:val="C3"/>
          <w:rFonts w:ascii="仿宋" w:hAnsi="仿宋"/>
          <w:sz w:val="32"/>
        </w:rPr>
        <w:t>将第二十三条改为第二十六条，修改为：“县级以上人民代表大会常务委员会应当听取和审议规范性文件备案审查工作情况报告。</w:t>
      </w:r>
    </w:p>
    <w:p>
      <w:pPr>
        <w:pStyle w:val="P10"/>
        <w:ind w:firstLine="640"/>
        <w:rPr>
          <w:rStyle w:val="C3"/>
          <w:rFonts w:ascii="仿宋" w:hAnsi="仿宋"/>
          <w:sz w:val="32"/>
        </w:rPr>
      </w:pPr>
      <w:r>
        <w:rPr>
          <w:rStyle w:val="C3"/>
          <w:rFonts w:ascii="仿宋" w:hAnsi="仿宋"/>
          <w:sz w:val="32"/>
        </w:rPr>
        <w:t>“县级以上人民代表大会常务委员会法制工作机构应当每年向本级人民代表大会常务委员会报告规范性文件备案审查工作情况。</w:t>
      </w:r>
    </w:p>
    <w:p>
      <w:pPr>
        <w:pStyle w:val="P10"/>
        <w:ind w:firstLine="640"/>
        <w:rPr>
          <w:rStyle w:val="C3"/>
          <w:rFonts w:ascii="仿宋" w:hAnsi="仿宋"/>
          <w:sz w:val="32"/>
        </w:rPr>
      </w:pPr>
      <w:r>
        <w:rPr>
          <w:rStyle w:val="C3"/>
          <w:rFonts w:ascii="仿宋" w:hAnsi="仿宋"/>
          <w:sz w:val="32"/>
        </w:rPr>
        <w:t>“备案审查工作情况报告根据常务委员会组成人员的审议意见修改后，向社会公开。”</w:t>
      </w:r>
    </w:p>
    <w:p>
      <w:pPr>
        <w:pStyle w:val="P1"/>
        <w:ind w:firstLine="640"/>
        <w:rPr>
          <w:rStyle w:val="C3"/>
          <w:rFonts w:ascii="仿宋" w:hAnsi="仿宋"/>
          <w:sz w:val="32"/>
        </w:rPr>
      </w:pPr>
      <w:r>
        <w:rPr>
          <w:rStyle w:val="C3"/>
          <w:rFonts w:ascii="黑体" w:hAnsi="黑体"/>
          <w:sz w:val="32"/>
        </w:rPr>
        <w:t>十六、</w:t>
      </w:r>
      <w:r>
        <w:rPr>
          <w:rStyle w:val="C3"/>
          <w:rFonts w:ascii="仿宋" w:hAnsi="仿宋"/>
          <w:sz w:val="32"/>
        </w:rPr>
        <w:t>将第二十四条中的内容调整至第七条，修改为：“县级以上人民代表大会常务委员会应当加强对规范性文件备案审查工作的组织领导，加强备案审查队伍建设，配备专业人员，加强备案审查信息化建设。</w:t>
      </w:r>
    </w:p>
    <w:p>
      <w:pPr>
        <w:pStyle w:val="P1"/>
        <w:ind w:firstLine="640"/>
        <w:rPr>
          <w:rStyle w:val="C3"/>
          <w:rFonts w:ascii="仿宋" w:hAnsi="仿宋"/>
          <w:sz w:val="32"/>
        </w:rPr>
      </w:pPr>
      <w:r>
        <w:rPr>
          <w:rStyle w:val="C3"/>
          <w:rFonts w:ascii="仿宋" w:hAnsi="仿宋"/>
          <w:sz w:val="32"/>
        </w:rPr>
        <w:t>“上级人民代表大会常务委员会应当加强对下级人民代表大会常务委员会备案审查工作的指导，提高备案审查工作质量。”</w:t>
      </w:r>
    </w:p>
    <w:p>
      <w:pPr>
        <w:pStyle w:val="P1"/>
        <w:rPr>
          <w:rStyle w:val="C3"/>
          <w:rFonts w:ascii="仿宋" w:hAnsi="仿宋"/>
          <w:sz w:val="32"/>
        </w:rPr>
      </w:pPr>
      <w:r>
        <w:rPr>
          <w:rStyle w:val="C3"/>
          <w:rFonts w:ascii="仿宋" w:hAnsi="仿宋"/>
          <w:sz w:val="32"/>
        </w:rPr>
        <w:t xml:space="preserve">    此外，对条文序号作相应调整。</w:t>
      </w:r>
      <w:r>
        <w:t xml:space="preserve"> </w:t>
      </w:r>
    </w:p>
    <w:p>
      <w:pPr>
        <w:pStyle w:val="P1"/>
        <w:keepNext w:val="0"/>
        <w:keepLines w:val="0"/>
        <w:spacing w:lineRule="auto" w:line="240" w:before="0" w:after="0"/>
        <w:ind w:firstLine="640"/>
        <w:jc w:val="both"/>
        <w:rPr>
          <w:rStyle w:val="C3"/>
          <w:rFonts w:ascii="仿宋" w:hAnsi="仿宋"/>
          <w:b w:val="0"/>
          <w:sz w:val="32"/>
        </w:rPr>
      </w:pPr>
      <w:r>
        <w:rPr>
          <w:rStyle w:val="C3"/>
          <w:rFonts w:ascii="仿宋" w:hAnsi="仿宋"/>
          <w:b w:val="0"/>
          <w:sz w:val="32"/>
        </w:rPr>
        <w:t>本决定自公布之日起施行。</w:t>
      </w:r>
    </w:p>
    <w:p>
      <w:pPr>
        <w:pStyle w:val="P1"/>
        <w:keepNext w:val="0"/>
        <w:keepLines w:val="0"/>
        <w:spacing w:lineRule="auto" w:line="240" w:before="0" w:after="0"/>
        <w:ind w:firstLine="640"/>
        <w:jc w:val="both"/>
        <w:rPr>
          <w:rStyle w:val="C3"/>
          <w:rFonts w:ascii="仿宋" w:hAnsi="仿宋"/>
          <w:b w:val="0"/>
          <w:sz w:val="36"/>
        </w:rPr>
      </w:pPr>
      <w:r>
        <w:rPr>
          <w:rStyle w:val="C3"/>
          <w:rFonts w:ascii="仿宋" w:hAnsi="仿宋"/>
          <w:b w:val="0"/>
          <w:sz w:val="32"/>
        </w:rPr>
        <w:t>《吉林省各级人民代表大会常务委员会规范性文件备案审查条例》根据本决定作相应修改，重新公布。</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0"/>
    <w:pPr>
      <w:widowControl w:val="0"/>
      <w:jc w:val="both"/>
    </w:pPr>
    <w:rPr>
      <w:rFonts w:ascii="Times New Roman" w:hAnsi="Times New Roman"/>
      <w:sz w:val="21"/>
    </w:rPr>
  </w:style>
  <w:style w:type="paragraph" w:styleId="P2">
    <w:name w:val="正文 New"/>
    <w:next w:val="P2"/>
    <w:pPr>
      <w:widowControl w:val="0"/>
      <w:jc w:val="both"/>
    </w:pPr>
    <w:rPr>
      <w:rFonts w:ascii="Times New Roman" w:hAnsi="Times New Roman"/>
      <w:sz w:val="21"/>
    </w:rPr>
  </w:style>
  <w:style w:type="paragraph" w:styleId="P3">
    <w:name w:val="正文 New New New New New"/>
    <w:next w:val="P3"/>
    <w:pPr>
      <w:widowControl w:val="0"/>
      <w:jc w:val="both"/>
    </w:pPr>
    <w:rPr>
      <w:rFonts w:ascii="Calibri" w:hAnsi="Calibri"/>
      <w:sz w:val="21"/>
    </w:rPr>
  </w:style>
  <w:style w:type="paragraph" w:styleId="P4">
    <w:name w:val="正文 New New"/>
    <w:next w:val="P4"/>
    <w:pPr>
      <w:jc w:val="left"/>
    </w:pPr>
    <w:rPr>
      <w:color w:val="000000"/>
      <w:sz w:val="21"/>
    </w:rPr>
  </w:style>
  <w:style w:type="paragraph" w:styleId="P5">
    <w:name w:val="正文 New New New New New New"/>
    <w:next w:val="P5"/>
    <w:pPr>
      <w:widowControl w:val="0"/>
      <w:jc w:val="both"/>
    </w:pPr>
    <w:rPr>
      <w:rFonts w:ascii="Times New Roman" w:hAnsi="Times New Roman"/>
      <w:sz w:val="21"/>
    </w:rPr>
  </w:style>
  <w:style w:type="paragraph" w:styleId="P6">
    <w:name w:val="正文 New New New New New New New New"/>
    <w:next w:val="P6"/>
    <w:pPr>
      <w:jc w:val="left"/>
    </w:pPr>
    <w:rPr>
      <w:color w:val="000000"/>
      <w:sz w:val="21"/>
    </w:rPr>
  </w:style>
  <w:style w:type="paragraph" w:styleId="P7">
    <w:name w:val="正文 New New New New"/>
    <w:next w:val="P7"/>
    <w:pPr>
      <w:jc w:val="left"/>
    </w:pPr>
    <w:rPr>
      <w:color w:val="000000"/>
      <w:sz w:val="21"/>
    </w:rPr>
  </w:style>
  <w:style w:type="paragraph" w:styleId="P8">
    <w:name w:val="正文 New New New"/>
    <w:next w:val="P8"/>
    <w:pPr>
      <w:jc w:val="left"/>
    </w:pPr>
    <w:rPr>
      <w:color w:val="000000"/>
      <w:sz w:val="21"/>
    </w:rPr>
  </w:style>
  <w:style w:type="paragraph" w:styleId="P9">
    <w:name w:val="正文 New New New New New New New"/>
    <w:next w:val="P9"/>
    <w:pPr>
      <w:jc w:val="left"/>
    </w:pPr>
    <w:rPr>
      <w:color w:val="000000"/>
      <w:sz w:val="21"/>
    </w:rPr>
  </w:style>
  <w:style w:type="paragraph" w:styleId="P10">
    <w:name w:val="正文缩进"/>
    <w:basedOn w:val="P1"/>
    <w:next w:val="P1"/>
    <w:qFormat/>
    <w:pPr>
      <w:ind w:firstLine="420"/>
    </w:pPr>
    <w:rPr>
      <w:rFonts w:ascii="Calibri" w:hAnsi="Calibri"/>
    </w:rPr>
  </w:style>
  <w:style w:type="paragraph" w:styleId="P11">
    <w:name w:val="页脚"/>
    <w:basedOn w:val="P1"/>
    <w:next w:val="P11"/>
    <w:qFormat/>
    <w:pPr>
      <w:tabs>
        <w:tab w:val="center" w:pos="4153" w:leader="none"/>
        <w:tab w:val="right" w:pos="8306" w:leader="none"/>
      </w:tabs>
      <w:jc w:val="left"/>
    </w:pPr>
    <w:rPr>
      <w:rFonts w:ascii="Times New Roman" w:hAnsi="Times New Roman"/>
      <w:sz w:val="18"/>
    </w:rPr>
  </w:style>
  <w:style w:type="paragraph" w:styleId="P12">
    <w:name w:val="普通(网站)"/>
    <w:basedOn w:val="P1"/>
    <w:next w:val="P12"/>
    <w:qFormat/>
    <w:pPr>
      <w:spacing w:before="100" w:after="100" w:beforeAutospacing="1" w:afterAutospacing="1"/>
      <w:ind w:left="0" w:right="0"/>
      <w:jc w:val="left"/>
    </w:pPr>
    <w:rPr>
      <w:sz w:val="24"/>
    </w:rPr>
  </w:style>
  <w:style w:type="paragraph" w:styleId="P13">
    <w:name w:val="页脚 New"/>
    <w:basedOn w:val="P2"/>
    <w:next w:val="P13"/>
    <w:pPr>
      <w:tabs>
        <w:tab w:val="center" w:pos="4153" w:leader="none"/>
        <w:tab w:val="right" w:pos="8306" w:leader="none"/>
      </w:tabs>
      <w:jc w:val="left"/>
    </w:pPr>
    <w:rPr>
      <w:sz w:val="18"/>
    </w:rPr>
  </w:style>
  <w:style w:type="paragraph" w:styleId="P14">
    <w:name w:val="页眉 New"/>
    <w:basedOn w:val="P2"/>
    <w:next w:val="P1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5">
    <w:name w:val="页脚 New New"/>
    <w:basedOn w:val="P5"/>
    <w:next w:val="P15"/>
    <w:pPr>
      <w:tabs>
        <w:tab w:val="center" w:pos="4153" w:leader="none"/>
        <w:tab w:val="right" w:pos="8306" w:leader="none"/>
      </w:tabs>
      <w:jc w:val="left"/>
    </w:pPr>
    <w:rPr>
      <w:sz w:val="18"/>
    </w:rPr>
  </w:style>
  <w:style w:type="paragraph" w:styleId="P16">
    <w:name w:val="页眉 New New"/>
    <w:basedOn w:val="P5"/>
    <w:next w:val="P1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qFormat/>
    <w:rPr>
      <w:rFonts w:ascii="Calibri" w:hAnsi="Calibri"/>
    </w:rPr>
  </w:style>
  <w:style w:type="character" w:styleId="C5">
    <w:name w:val="页码 New"/>
    <w:basedOn w:val="C3"/>
    <w:rPr/>
  </w:style>
  <w:style w:type="character" w:styleId="C6">
    <w:name w:val="页码 New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云飞扬</dc:creator>
  <dcterms:created xsi:type="dcterms:W3CDTF">2021-05-23T17:11:00Z</dcterms:created>
  <cp:lastModifiedBy>f1TZOF\f1TZOF-</cp:lastModifiedBy>
  <cp:lastPrinted>2022-09-29T04:57:00Z</cp:lastPrinted>
  <dcterms:modified xsi:type="dcterms:W3CDTF">2024-08-28T01:36:08Z</dcterms:modified>
  <cp:revision>2</cp:revision>
  <dc:title>云飞扬</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5B32C44B5A214C258B5660E1C94DD707</vt:lpwstr>
  </property>
</Properties>
</file>