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8A2821" Type="http://schemas.openxmlformats.org/officeDocument/2006/relationships/officeDocument" Target="/word/document.xml" /><Relationship Id="coreR1A8A2821" Type="http://schemas.openxmlformats.org/package/2006/relationships/metadata/core-properties" Target="/docProps/core.xml" /><Relationship Id="customR1A8A28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contextualSpacing w:val="1"/>
        <w:jc w:val="center"/>
        <w:rPr>
          <w:rStyle w:val="C3"/>
          <w:rFonts w:ascii="方正小标宋简体" w:hAnsi="方正小标宋简体"/>
        </w:rPr>
      </w:pPr>
    </w:p>
    <w:p>
      <w:pPr>
        <w:pStyle w:val="P11"/>
        <w:spacing w:lineRule="exact" w:line="560"/>
        <w:contextualSpacing w:val="1"/>
        <w:jc w:val="center"/>
        <w:rPr>
          <w:rStyle w:val="C3"/>
          <w:rFonts w:ascii="方正小标宋简体" w:hAnsi="方正小标宋简体"/>
        </w:rPr>
      </w:pPr>
    </w:p>
    <w:p>
      <w:pPr>
        <w:pStyle w:val="P11"/>
        <w:spacing w:lineRule="exact" w:line="560"/>
        <w:contextualSpacing w:val="1"/>
        <w:jc w:val="center"/>
        <w:rPr>
          <w:rStyle w:val="C3"/>
          <w:rFonts w:ascii="宋体" w:hAnsi="宋体"/>
          <w:sz w:val="44"/>
        </w:rPr>
      </w:pPr>
      <w:r>
        <w:rPr>
          <w:rStyle w:val="C3"/>
          <w:rFonts w:ascii="宋体" w:hAnsi="宋体"/>
          <w:sz w:val="44"/>
        </w:rPr>
        <w:t>天津市基本农田保护条例</w:t>
      </w:r>
    </w:p>
    <w:p>
      <w:pPr>
        <w:pStyle w:val="P11"/>
        <w:spacing w:lineRule="exact" w:line="560"/>
        <w:contextualSpacing w:val="1"/>
        <w:rPr>
          <w:rStyle w:val="C3"/>
          <w:rFonts w:ascii="Adobe 仿宋 Std R" w:hAnsi="Adobe 仿宋 Std R"/>
        </w:rPr>
      </w:pPr>
    </w:p>
    <w:p>
      <w:pPr>
        <w:pStyle w:val="P1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日天津市第十二届人民代表大会常务委员会第二十八次会议通过　根据</w:t>
      </w:r>
      <w:r>
        <w:rPr>
          <w:rStyle w:val="C3"/>
          <w:rFonts w:ascii="楷体_GB2312" w:hAnsi="楷体_GB2312"/>
        </w:rPr>
        <w:t>1999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4</w:t>
      </w:r>
      <w:r>
        <w:rPr>
          <w:rStyle w:val="C3"/>
          <w:rFonts w:ascii="Microsoft YaHei UI" w:hAnsi="Microsoft YaHei UI"/>
        </w:rPr>
        <w:t>日天津市第十三届人民代表大会常务委员会第十次会议《关于修改〈天津市基本农田保护条例〉的决定》第一次修正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1"/>
        <w:spacing w:lineRule="exact" w:line="560"/>
        <w:contextualSpacing w:val="1"/>
        <w:jc w:val="center"/>
        <w:rPr>
          <w:rStyle w:val="C3"/>
          <w:rFonts w:ascii="Adobe 仿宋 Std R" w:hAnsi="Adobe 仿宋 Std R"/>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1"/>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规划和划定</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1"/>
        <w:spacing w:lineRule="exact" w:line="560"/>
        <w:contextualSpacing w:val="1"/>
        <w:rPr>
          <w:rStyle w:val="C3"/>
          <w:rFonts w:ascii="Adobe 仿宋 Std R" w:hAnsi="Adobe 仿宋 Std R"/>
        </w:rPr>
      </w:pPr>
    </w:p>
    <w:p>
      <w:pPr>
        <w:pStyle w:val="P11"/>
        <w:spacing w:lineRule="exact" w:line="560"/>
        <w:contextualSpacing w:val="1"/>
        <w:jc w:val="center"/>
        <w:rPr>
          <w:rStyle w:val="C3"/>
          <w:rFonts w:ascii="黑体" w:hAnsi="黑体"/>
        </w:rPr>
      </w:pPr>
      <w:r>
        <w:rPr>
          <w:rStyle w:val="C3"/>
          <w:rFonts w:ascii="黑体" w:hAnsi="黑体"/>
        </w:rPr>
        <w:t>第一章　总则</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对本市基本农田的保护和管理，促进农业生产和国民经济的可持续发展，根据《中华人民共和国农业法》、《中华人民共和国土地管理法》、《基本农田保护条例》和有关法律、法规，结合本市实际情况，制定本条例。</w:t>
      </w:r>
    </w:p>
    <w:p>
      <w:pPr>
        <w:pStyle w:val="P11"/>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本条例所称基本农田，是指按照一定时期人口和社会经济发展对农产品的需求，依据土地利用总体规划确定的不得占用的耕地。</w:t>
      </w:r>
    </w:p>
    <w:p>
      <w:pPr>
        <w:pStyle w:val="P11"/>
        <w:spacing w:lineRule="exact" w:line="560"/>
        <w:ind w:firstLine="632"/>
        <w:contextualSpacing w:val="1"/>
        <w:rPr>
          <w:rStyle w:val="C3"/>
          <w:rFonts w:ascii="仿宋_GB2312" w:hAnsi="仿宋_GB2312"/>
        </w:rPr>
      </w:pPr>
      <w:r>
        <w:rPr>
          <w:rStyle w:val="C3"/>
          <w:rFonts w:ascii="Microsoft YaHei UI" w:hAnsi="Microsoft YaHei UI"/>
        </w:rPr>
        <w:t>本条例所称基本农田保护区，是指对基本农田实行特殊保护而依照法定程序划定的区域。</w:t>
      </w:r>
    </w:p>
    <w:p>
      <w:pPr>
        <w:pStyle w:val="P11"/>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本条例适用于本市行政区域内基本农田保护区的规划、划定、保护和监督管理工作。</w:t>
      </w:r>
    </w:p>
    <w:p>
      <w:pPr>
        <w:pStyle w:val="P11"/>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各级人民政府应当把基本农田保护工作纳入国民经济和社会发展计划，并组织实施。</w:t>
      </w:r>
    </w:p>
    <w:p>
      <w:pPr>
        <w:pStyle w:val="P11"/>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本市对基本农田实行特殊保护。建设项目必须节约使用土地，可以利用荒地的，不得占用耕地；可以利用其他耕地的，不得占用基本农田。</w:t>
      </w:r>
    </w:p>
    <w:p>
      <w:pPr>
        <w:pStyle w:val="P11"/>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各级人民政府应当加强对基本农田保护工作的领导。</w:t>
      </w:r>
    </w:p>
    <w:p>
      <w:pPr>
        <w:pStyle w:val="P11"/>
        <w:spacing w:lineRule="exact" w:line="560"/>
        <w:ind w:firstLine="632"/>
        <w:contextualSpacing w:val="1"/>
        <w:rPr>
          <w:rStyle w:val="C3"/>
          <w:rFonts w:ascii="仿宋_GB2312" w:hAnsi="仿宋_GB2312"/>
        </w:rPr>
      </w:pPr>
      <w:r>
        <w:rPr>
          <w:rStyle w:val="C3"/>
          <w:rFonts w:ascii="Microsoft YaHei UI" w:hAnsi="Microsoft YaHei UI"/>
        </w:rPr>
        <w:t>市和区、县土地行政主管部门和农业行政主管部门按照本条例和本级人民政府规定的职责分工，负责本行政区域内基本农田保护管理工作。</w:t>
      </w:r>
    </w:p>
    <w:p>
      <w:pPr>
        <w:pStyle w:val="P11"/>
        <w:spacing w:lineRule="exact" w:line="560"/>
        <w:ind w:firstLine="632"/>
        <w:contextualSpacing w:val="1"/>
        <w:rPr>
          <w:rStyle w:val="C3"/>
          <w:rFonts w:ascii="仿宋_GB2312" w:hAnsi="仿宋_GB2312"/>
        </w:rPr>
      </w:pPr>
      <w:r>
        <w:rPr>
          <w:rStyle w:val="C3"/>
          <w:rFonts w:ascii="Microsoft YaHei UI" w:hAnsi="Microsoft YaHei UI"/>
        </w:rPr>
        <w:t>乡、镇人民政府负责本行政区域内的基本农田保护管理工作。</w:t>
      </w:r>
    </w:p>
    <w:p>
      <w:pPr>
        <w:pStyle w:val="P11"/>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鼓励单位和个人进行基本农田开发，其合法权益受法律保护。</w:t>
      </w:r>
    </w:p>
    <w:p>
      <w:pPr>
        <w:pStyle w:val="P11"/>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任何单位和个人都有保护基本农田的义务，并有权对侵占、破坏基本农田以及其他违反本条例的行为进行检举、控告。</w:t>
      </w:r>
    </w:p>
    <w:p>
      <w:pPr>
        <w:pStyle w:val="P11"/>
        <w:spacing w:lineRule="exact" w:line="560"/>
        <w:ind w:firstLine="632"/>
        <w:contextualSpacing w:val="1"/>
        <w:rPr>
          <w:rStyle w:val="C3"/>
          <w:rFonts w:ascii="仿宋_GB2312" w:hAnsi="仿宋_GB2312"/>
        </w:rPr>
      </w:pPr>
      <w:r>
        <w:rPr>
          <w:rStyle w:val="C3"/>
          <w:rFonts w:ascii="Microsoft YaHei UI" w:hAnsi="Microsoft YaHei UI"/>
        </w:rPr>
        <w:t>在基本农田保护工作中取得显著成绩的单位和个人，由各级人民政府给予奖励。</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第二章　规划和划定</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市和区、县人民政府在编制土地利用总体规划时，应当将基本农田保护作为规划的内容，明确基本农田保护的布局安排、数量指标和质量要求。</w:t>
      </w:r>
    </w:p>
    <w:p>
      <w:pPr>
        <w:pStyle w:val="P11"/>
        <w:spacing w:lineRule="exact" w:line="560"/>
        <w:ind w:firstLine="632"/>
        <w:contextualSpacing w:val="1"/>
        <w:rPr>
          <w:rStyle w:val="C3"/>
          <w:rFonts w:ascii="仿宋_GB2312" w:hAnsi="仿宋_GB2312"/>
        </w:rPr>
      </w:pPr>
      <w:r>
        <w:rPr>
          <w:rStyle w:val="C3"/>
          <w:rFonts w:ascii="Microsoft YaHei UI" w:hAnsi="Microsoft YaHei UI"/>
        </w:rPr>
        <w:t>区、县和乡、镇土地利用总体规划应当确定基本农田保护区。</w:t>
      </w:r>
    </w:p>
    <w:p>
      <w:pPr>
        <w:pStyle w:val="P11"/>
        <w:spacing w:lineRule="exact" w:line="560"/>
        <w:ind w:firstLine="632"/>
        <w:contextualSpacing w:val="1"/>
        <w:rPr>
          <w:rStyle w:val="C3"/>
          <w:rFonts w:ascii="仿宋_GB2312" w:hAnsi="仿宋_GB2312"/>
        </w:rPr>
      </w:pPr>
      <w:r>
        <w:rPr>
          <w:rStyle w:val="C3"/>
          <w:rFonts w:ascii="Microsoft YaHei UI" w:hAnsi="Microsoft YaHei UI"/>
        </w:rPr>
        <w:t>乡、镇应当将基本农田保护区落实到具体地块。</w:t>
      </w:r>
    </w:p>
    <w:p>
      <w:pPr>
        <w:pStyle w:val="P11"/>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本市划定的基本农田应当占国务院确定的本市行政区域内耕地总面积的百分之八十以上，具体数量指标由市人民政府根据土地利用总体规划分解下达。</w:t>
      </w:r>
    </w:p>
    <w:p>
      <w:pPr>
        <w:pStyle w:val="P11"/>
        <w:spacing w:lineRule="exact" w:line="560"/>
        <w:ind w:firstLine="632"/>
        <w:contextualSpacing w:val="1"/>
        <w:rPr>
          <w:rStyle w:val="C3"/>
          <w:rFonts w:ascii="仿宋_GB2312" w:hAnsi="仿宋_GB2312"/>
        </w:rPr>
      </w:pPr>
      <w:r>
        <w:rPr>
          <w:rStyle w:val="C3"/>
          <w:rFonts w:ascii="Microsoft YaHei UI" w:hAnsi="Microsoft YaHei UI"/>
        </w:rPr>
        <w:t>本市各级人民政府应当采取措施，确保土地利用总体规划确定的各自行政区域内基本农田的数量不减少。</w:t>
      </w:r>
    </w:p>
    <w:p>
      <w:pPr>
        <w:pStyle w:val="P11"/>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下列耕地划入基本农田保护区：</w:t>
      </w:r>
    </w:p>
    <w:p>
      <w:pPr>
        <w:pStyle w:val="P11"/>
        <w:spacing w:lineRule="exact" w:line="560"/>
        <w:ind w:firstLine="632"/>
        <w:contextualSpacing w:val="1"/>
        <w:rPr>
          <w:rStyle w:val="C3"/>
          <w:rFonts w:ascii="仿宋_GB2312" w:hAnsi="仿宋_GB2312"/>
        </w:rPr>
      </w:pPr>
      <w:r>
        <w:rPr>
          <w:rStyle w:val="C3"/>
          <w:rFonts w:ascii="Microsoft YaHei UI" w:hAnsi="Microsoft YaHei UI"/>
        </w:rPr>
        <w:t>（一）国务院有关主管部门和市人民政府批准确定的粮、棉、油和名、优、特、新农产品生产基地；</w:t>
      </w:r>
    </w:p>
    <w:p>
      <w:pPr>
        <w:pStyle w:val="P11"/>
        <w:spacing w:lineRule="exact" w:line="560"/>
        <w:ind w:firstLine="632"/>
        <w:contextualSpacing w:val="1"/>
        <w:rPr>
          <w:rStyle w:val="C3"/>
          <w:rFonts w:ascii="仿宋_GB2312" w:hAnsi="仿宋_GB2312"/>
        </w:rPr>
      </w:pPr>
      <w:r>
        <w:rPr>
          <w:rStyle w:val="C3"/>
          <w:rFonts w:ascii="Microsoft YaHei UI" w:hAnsi="Microsoft YaHei UI"/>
        </w:rPr>
        <w:t>（二）高产、稳产田，有良好的水利与水土保持设施的耕地，经过治理、改造和正在实施改造计划的中低产田；</w:t>
      </w:r>
    </w:p>
    <w:p>
      <w:pPr>
        <w:pStyle w:val="P11"/>
        <w:spacing w:lineRule="exact" w:line="560"/>
        <w:ind w:firstLine="632"/>
        <w:contextualSpacing w:val="1"/>
        <w:rPr>
          <w:rStyle w:val="C3"/>
          <w:rFonts w:ascii="仿宋_GB2312" w:hAnsi="仿宋_GB2312"/>
        </w:rPr>
      </w:pPr>
      <w:r>
        <w:rPr>
          <w:rStyle w:val="C3"/>
          <w:rFonts w:ascii="Microsoft YaHei UI" w:hAnsi="Microsoft YaHei UI"/>
        </w:rPr>
        <w:t>（三）蔬菜生产基地；</w:t>
      </w:r>
    </w:p>
    <w:p>
      <w:pPr>
        <w:pStyle w:val="P11"/>
        <w:spacing w:lineRule="exact" w:line="560"/>
        <w:ind w:firstLine="632"/>
        <w:contextualSpacing w:val="1"/>
        <w:rPr>
          <w:rStyle w:val="C3"/>
          <w:rFonts w:ascii="仿宋_GB2312" w:hAnsi="仿宋_GB2312"/>
        </w:rPr>
      </w:pPr>
      <w:r>
        <w:rPr>
          <w:rStyle w:val="C3"/>
          <w:rFonts w:ascii="Microsoft YaHei UI" w:hAnsi="Microsoft YaHei UI"/>
        </w:rPr>
        <w:t>（四）农业科研、教学试验田以及农作物良种繁育基地。</w:t>
      </w:r>
    </w:p>
    <w:p>
      <w:pPr>
        <w:pStyle w:val="P11"/>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基本农田保护区的划区定界工作，以乡、镇为单位进行，由区、县人民政府土地行政主管部门会同农业行政主管部门组织实施。</w:t>
      </w:r>
    </w:p>
    <w:p>
      <w:pPr>
        <w:pStyle w:val="P11"/>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划定的基本农田保护区，由区、县人民政府设立保护标志，予以公告，由区、县土地行政主管部门建立档案并抄送同级农业行政主管部门。</w:t>
      </w:r>
    </w:p>
    <w:p>
      <w:pPr>
        <w:pStyle w:val="P11"/>
        <w:spacing w:lineRule="exact" w:line="560"/>
        <w:ind w:firstLine="632"/>
        <w:contextualSpacing w:val="1"/>
        <w:rPr>
          <w:rStyle w:val="C3"/>
          <w:rFonts w:ascii="仿宋_GB2312" w:hAnsi="仿宋_GB2312"/>
        </w:rPr>
      </w:pPr>
      <w:r>
        <w:rPr>
          <w:rStyle w:val="C3"/>
          <w:rFonts w:ascii="Microsoft YaHei UI" w:hAnsi="Microsoft YaHei UI"/>
        </w:rPr>
        <w:t>任何单位和个人不得破坏或者擅自改变基本农田保护区标志。</w:t>
      </w:r>
    </w:p>
    <w:p>
      <w:pPr>
        <w:pStyle w:val="P11"/>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划定基本农田保护区时不得擅自改变承包者的承包经营权。</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第三章　保护和管理</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各级人民政府应当将基本农田的保护和管理纳入领导任期目标责任制。</w:t>
      </w:r>
    </w:p>
    <w:p>
      <w:pPr>
        <w:pStyle w:val="P11"/>
        <w:spacing w:lineRule="exact" w:line="560"/>
        <w:ind w:firstLine="632"/>
        <w:contextualSpacing w:val="1"/>
        <w:rPr>
          <w:rStyle w:val="C3"/>
          <w:rFonts w:ascii="仿宋_GB2312" w:hAnsi="仿宋_GB2312"/>
        </w:rPr>
      </w:pPr>
      <w:r>
        <w:rPr>
          <w:rStyle w:val="C3"/>
          <w:rFonts w:ascii="Microsoft YaHei UI" w:hAnsi="Microsoft YaHei UI"/>
        </w:rPr>
        <w:t>乡、镇人民政府应当与村民委员会或者农村集体经济组织签订基本农田保护责任书。村民委员会或者农村集体经济组织依法负责其所有的基本农田保护工作。基本农田保护区内的耕地承包者是该农田的保护人。</w:t>
      </w:r>
    </w:p>
    <w:p>
      <w:pPr>
        <w:pStyle w:val="P1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市和区、县人民政府应当建立基本农田保护监督检查制度，定期组织土地行政主管部门、农业行政主管部门和其他有关部门对基本农田保护情况进行检查，并将检查情况书面报告上一级人民政府。被检查的单位和个人应当如实提供有关情况和资料。</w:t>
      </w:r>
    </w:p>
    <w:p>
      <w:pPr>
        <w:pStyle w:val="P11"/>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基本农田保护区一经划定，任何单位和个人不得擅自改变或者占用。国家能源、交通、水利、军事设施等重点建设项目选址确实无法避开基本农田保护区，需要占用基本农田，涉及农用地转用或者征收、征用土地的，由市人民政府报经国务院批准。</w:t>
      </w:r>
    </w:p>
    <w:p>
      <w:pPr>
        <w:pStyle w:val="P11"/>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经国务院批准占用农田的，本市各级人民政府应当按照国务院的批准文件修改土地利用总体规划，并补充划入数量和质量相当的基本农田。占用单位应当按照占多少、垦多少的原则，负责开垦与所占用基本农田的数量与质量相当的耕地；没有条件开垦或者开垦的耕地不符合要求的，应当按照本条例的规定缴纳耕地开垦费。</w:t>
      </w:r>
    </w:p>
    <w:p>
      <w:pPr>
        <w:pStyle w:val="P11"/>
        <w:spacing w:lineRule="exact" w:line="560"/>
        <w:ind w:firstLine="632"/>
        <w:contextualSpacing w:val="1"/>
        <w:rPr>
          <w:rStyle w:val="C3"/>
          <w:rFonts w:ascii="仿宋_GB2312" w:hAnsi="仿宋_GB2312"/>
        </w:rPr>
      </w:pPr>
      <w:r>
        <w:rPr>
          <w:rStyle w:val="C3"/>
          <w:rFonts w:ascii="Microsoft YaHei UI" w:hAnsi="Microsoft YaHei UI"/>
        </w:rPr>
        <w:t>占用基本农田的单位应当按照区、县人民政府的要求，将所占用基本农田耕作层的土壤用于新开垦耕地、劣质地或者其他耕地的土壤改良。</w:t>
      </w:r>
    </w:p>
    <w:p>
      <w:pPr>
        <w:pStyle w:val="P11"/>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耕地开垦费由市和区、县土地行政主管部门负责收取，上缴财政部门管理。</w:t>
      </w:r>
    </w:p>
    <w:p>
      <w:pPr>
        <w:pStyle w:val="P11"/>
        <w:spacing w:lineRule="exact" w:line="560"/>
        <w:ind w:firstLine="632"/>
        <w:contextualSpacing w:val="1"/>
        <w:rPr>
          <w:rStyle w:val="C3"/>
          <w:rFonts w:ascii="仿宋_GB2312" w:hAnsi="仿宋_GB2312"/>
        </w:rPr>
      </w:pPr>
      <w:r>
        <w:rPr>
          <w:rStyle w:val="C3"/>
          <w:rFonts w:ascii="Microsoft YaHei UI" w:hAnsi="Microsoft YaHei UI"/>
        </w:rPr>
        <w:t>耕地开垦费必须专款专用，用于新的基本农田的开垦、建设和中低产田的改造，不得挪作他用。其使用计划，由农业行政主管部门会同土地行政主管部门编制，经同级财政部门审核，报同级人民政府批准，使用情况由审计部门进行审计监督。</w:t>
      </w:r>
    </w:p>
    <w:p>
      <w:pPr>
        <w:pStyle w:val="P11"/>
        <w:spacing w:lineRule="exact" w:line="560"/>
        <w:ind w:firstLine="632"/>
        <w:contextualSpacing w:val="1"/>
        <w:rPr>
          <w:rStyle w:val="C3"/>
          <w:rFonts w:ascii="仿宋_GB2312" w:hAnsi="仿宋_GB2312"/>
        </w:rPr>
      </w:pPr>
      <w:r>
        <w:rPr>
          <w:rStyle w:val="C3"/>
          <w:rFonts w:ascii="Microsoft YaHei UI" w:hAnsi="Microsoft YaHei UI"/>
        </w:rPr>
        <w:t>新的基本农田的开垦、建设和中低产田的改造，由区、县土地行政主管部门和同级农业行政主管部门按照各自的职责分工组织实施。</w:t>
      </w:r>
    </w:p>
    <w:p>
      <w:pPr>
        <w:pStyle w:val="P1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耕地开垦费的标准为每平方米十元至二十元。</w:t>
      </w:r>
    </w:p>
    <w:p>
      <w:pPr>
        <w:pStyle w:val="P11"/>
        <w:spacing w:lineRule="exact" w:line="560"/>
        <w:ind w:firstLine="632"/>
        <w:contextualSpacing w:val="1"/>
        <w:rPr>
          <w:rStyle w:val="C3"/>
          <w:rFonts w:ascii="仿宋_GB2312" w:hAnsi="仿宋_GB2312"/>
        </w:rPr>
      </w:pPr>
      <w:r>
        <w:rPr>
          <w:rStyle w:val="C3"/>
          <w:rFonts w:ascii="Microsoft YaHei UI" w:hAnsi="Microsoft YaHei UI"/>
        </w:rPr>
        <w:t>耕地开垦费的收取使用管理办法，由市人民政府制定。</w:t>
      </w:r>
    </w:p>
    <w:p>
      <w:pPr>
        <w:pStyle w:val="P1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禁止任何单位和个人闲置、荒芜基本农田。</w:t>
      </w:r>
    </w:p>
    <w:p>
      <w:pPr>
        <w:pStyle w:val="P11"/>
        <w:spacing w:lineRule="exact" w:line="560"/>
        <w:ind w:firstLine="632"/>
        <w:contextualSpacing w:val="1"/>
        <w:rPr>
          <w:rStyle w:val="C3"/>
          <w:rFonts w:ascii="仿宋_GB2312" w:hAnsi="仿宋_GB2312"/>
        </w:rPr>
      </w:pPr>
      <w:r>
        <w:rPr>
          <w:rStyle w:val="C3"/>
          <w:rFonts w:ascii="Microsoft YaHei UI" w:hAnsi="Microsoft YaHei UI"/>
        </w:rPr>
        <w:t>经国务院批准的重点建设项目占用基本农田的，满一年不使用而又可以耕种并收获的，应当由原耕种该幅基本农田的集体或者个人恢复耕种，也可以由用地单位组织耕种；一年以上未动工建设的，应当按照每平方米五元至十元的标准，向土地行政主管部门缴纳闲置费；连续二年未使用的，经国务院批准，由市或者区、县人民政府无偿收回用地单位的土地使用权。该幅国有土地应当交由原农村集体经济组织恢复耕种，重新划入基本农田保护区。</w:t>
      </w:r>
    </w:p>
    <w:p>
      <w:pPr>
        <w:pStyle w:val="P11"/>
        <w:spacing w:lineRule="exact" w:line="560"/>
        <w:ind w:firstLine="632"/>
        <w:contextualSpacing w:val="1"/>
        <w:rPr>
          <w:rStyle w:val="C3"/>
          <w:rFonts w:ascii="仿宋_GB2312" w:hAnsi="仿宋_GB2312"/>
        </w:rPr>
      </w:pPr>
      <w:r>
        <w:rPr>
          <w:rStyle w:val="C3"/>
          <w:rFonts w:ascii="Microsoft YaHei UI" w:hAnsi="Microsoft YaHei UI"/>
        </w:rPr>
        <w:t>承包经营基本农田的单位或者个人连续二年弃耕抛荒的，原发包单位应当终止承包合同，收回发包的基本农田。</w:t>
      </w:r>
    </w:p>
    <w:p>
      <w:pPr>
        <w:pStyle w:val="P11"/>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在基本农田保护区内禁止下列行为：</w:t>
      </w:r>
    </w:p>
    <w:p>
      <w:pPr>
        <w:pStyle w:val="P11"/>
        <w:spacing w:lineRule="exact" w:line="560"/>
        <w:ind w:firstLine="632"/>
        <w:contextualSpacing w:val="1"/>
        <w:rPr>
          <w:rStyle w:val="C3"/>
          <w:rFonts w:ascii="仿宋_GB2312" w:hAnsi="仿宋_GB2312"/>
        </w:rPr>
      </w:pPr>
      <w:r>
        <w:rPr>
          <w:rStyle w:val="C3"/>
          <w:rFonts w:ascii="Microsoft YaHei UI" w:hAnsi="Microsoft YaHei UI"/>
        </w:rPr>
        <w:t>（一）建窑、建房、建坟、挖砂、采石、采矿、取土、堆放固体废弃物；</w:t>
      </w:r>
    </w:p>
    <w:p>
      <w:pPr>
        <w:pStyle w:val="P11"/>
        <w:spacing w:lineRule="exact" w:line="560"/>
        <w:ind w:firstLine="632"/>
        <w:contextualSpacing w:val="1"/>
        <w:rPr>
          <w:rStyle w:val="C3"/>
          <w:rFonts w:ascii="仿宋_GB2312" w:hAnsi="仿宋_GB2312"/>
        </w:rPr>
      </w:pPr>
      <w:r>
        <w:rPr>
          <w:rStyle w:val="C3"/>
          <w:rFonts w:ascii="Microsoft YaHei UI" w:hAnsi="Microsoft YaHei UI"/>
        </w:rPr>
        <w:t>（二）挖塘养鱼和发展林果业；</w:t>
      </w:r>
    </w:p>
    <w:p>
      <w:pPr>
        <w:pStyle w:val="P11"/>
        <w:spacing w:lineRule="exact" w:line="560"/>
        <w:ind w:firstLine="632"/>
        <w:contextualSpacing w:val="1"/>
        <w:rPr>
          <w:rStyle w:val="C3"/>
          <w:rFonts w:ascii="仿宋_GB2312" w:hAnsi="仿宋_GB2312"/>
        </w:rPr>
      </w:pPr>
      <w:r>
        <w:rPr>
          <w:rStyle w:val="C3"/>
          <w:rFonts w:ascii="Microsoft YaHei UI" w:hAnsi="Microsoft YaHei UI"/>
        </w:rPr>
        <w:t>（三）排放有毒有害的废水、废气、废渣；</w:t>
      </w:r>
    </w:p>
    <w:p>
      <w:pPr>
        <w:pStyle w:val="P11"/>
        <w:spacing w:lineRule="exact" w:line="560"/>
        <w:ind w:firstLine="632"/>
        <w:contextualSpacing w:val="1"/>
        <w:rPr>
          <w:rStyle w:val="C3"/>
          <w:rFonts w:ascii="仿宋_GB2312" w:hAnsi="仿宋_GB2312"/>
        </w:rPr>
      </w:pPr>
      <w:r>
        <w:rPr>
          <w:rStyle w:val="C3"/>
          <w:rFonts w:ascii="Microsoft YaHei UI" w:hAnsi="Microsoft YaHei UI"/>
        </w:rPr>
        <w:t>（四）其他损害基本农田的行为。</w:t>
      </w:r>
    </w:p>
    <w:p>
      <w:pPr>
        <w:pStyle w:val="P11"/>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各级人民政府应当采取措施，鼓励农业生产者对其经营的基本农田兴修水利，保持水土，防止耕地沙化、盐渍化，增施有机肥料，坚持秸杆还田，合理使用化肥、农药等农用化学物质，大力发展无公害生产，改良土壤，提高地力。</w:t>
      </w:r>
    </w:p>
    <w:p>
      <w:pPr>
        <w:pStyle w:val="P11"/>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各级农业行政主管部门应当建立基本农田地力与施肥效益长期定位监测网点，定期向本级人民政府提出基本农田地力状况变化报告以及相应的地力保护措施，并在基本农田的营养分析、肥力测定、配方施肥等方面提供指导和服务。</w:t>
      </w:r>
    </w:p>
    <w:p>
      <w:pPr>
        <w:pStyle w:val="P11"/>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市农业行政主管部门应当会同市环境保护行政主管部门对基本农田保护区内耕地环境污染进行监测与评价，并定期向市人民政府提出环境质量与发展趋势的报告。</w:t>
      </w:r>
    </w:p>
    <w:p>
      <w:pPr>
        <w:pStyle w:val="P11"/>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向基本农田保护区提供的肥料和作为肥料的城市垃圾、污泥等，必须符合国家有关标准。</w:t>
      </w:r>
    </w:p>
    <w:p>
      <w:pPr>
        <w:pStyle w:val="P11"/>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因发生事故或者其他突发性事件，造成或者可能造成基本农田环境污染事故的，当事人必须立即采取措施处理，并向当地环境保护行政主管部门和农业行政主管部门报告，接受调查处理。</w:t>
      </w:r>
    </w:p>
    <w:p>
      <w:pPr>
        <w:pStyle w:val="P11"/>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经批准在基本农田保护区内耕地上兴建国家和本市重点项目的，必须遵守国家有关建设项目环境保护管理的规定。在建设项目环境影响报告书中，应当有基本农田环境保护方案。环境保护行政主管部门在审批建设项目环境影响报告书时，应当征得同级农业行政主管部门对基本农田环境保护方案的同意。</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第四章　法律责任</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有下列行为之一的，依照《中华人民共和国土地管理法》和《天津市土地管理条例》的有关规定予以处理：</w:t>
      </w:r>
    </w:p>
    <w:p>
      <w:pPr>
        <w:pStyle w:val="P11"/>
        <w:spacing w:lineRule="exact" w:line="560"/>
        <w:ind w:firstLine="632"/>
        <w:contextualSpacing w:val="1"/>
        <w:rPr>
          <w:rStyle w:val="C3"/>
          <w:rFonts w:ascii="仿宋_GB2312" w:hAnsi="仿宋_GB2312"/>
        </w:rPr>
      </w:pPr>
      <w:r>
        <w:rPr>
          <w:rStyle w:val="C3"/>
          <w:rFonts w:ascii="Microsoft YaHei UI" w:hAnsi="Microsoft YaHei UI"/>
        </w:rPr>
        <w:t>（一）未经批准或者采取欺骗手段骗取批准，非法占用基本农田保护区内耕地的；</w:t>
      </w:r>
    </w:p>
    <w:p>
      <w:pPr>
        <w:pStyle w:val="P11"/>
        <w:spacing w:lineRule="exact" w:line="560"/>
        <w:ind w:firstLine="632"/>
        <w:contextualSpacing w:val="1"/>
        <w:rPr>
          <w:rStyle w:val="C3"/>
          <w:rFonts w:ascii="仿宋_GB2312" w:hAnsi="仿宋_GB2312"/>
        </w:rPr>
      </w:pPr>
      <w:r>
        <w:rPr>
          <w:rStyle w:val="C3"/>
          <w:rFonts w:ascii="Microsoft YaHei UI" w:hAnsi="Microsoft YaHei UI"/>
        </w:rPr>
        <w:t>（二）无权批准征收、征用、使用基本农田保护区内耕地的单位或者个人非法批准占用的；</w:t>
      </w:r>
    </w:p>
    <w:p>
      <w:pPr>
        <w:pStyle w:val="P11"/>
        <w:spacing w:lineRule="exact" w:line="560"/>
        <w:ind w:firstLine="632"/>
        <w:contextualSpacing w:val="1"/>
        <w:rPr>
          <w:rStyle w:val="C3"/>
          <w:rFonts w:ascii="仿宋_GB2312" w:hAnsi="仿宋_GB2312"/>
        </w:rPr>
      </w:pPr>
      <w:r>
        <w:rPr>
          <w:rStyle w:val="C3"/>
          <w:rFonts w:ascii="Microsoft YaHei UI" w:hAnsi="Microsoft YaHei UI"/>
        </w:rPr>
        <w:t>（三）超越批准权限非法批准占用基本农田保护区内耕地的；</w:t>
      </w:r>
    </w:p>
    <w:p>
      <w:pPr>
        <w:pStyle w:val="P11"/>
        <w:spacing w:lineRule="exact" w:line="560"/>
        <w:ind w:firstLine="632"/>
        <w:contextualSpacing w:val="1"/>
        <w:rPr>
          <w:rStyle w:val="C3"/>
          <w:rFonts w:ascii="仿宋_GB2312" w:hAnsi="仿宋_GB2312"/>
        </w:rPr>
      </w:pPr>
      <w:r>
        <w:rPr>
          <w:rStyle w:val="C3"/>
          <w:rFonts w:ascii="Microsoft YaHei UI" w:hAnsi="Microsoft YaHei UI"/>
        </w:rPr>
        <w:t>（四）买卖或者以其他形式非法转让基本农田保护区内耕地的。</w:t>
      </w:r>
    </w:p>
    <w:p>
      <w:pPr>
        <w:pStyle w:val="P11"/>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违反本条例第二十二条第（一）项、第（二）项、第（四）项规定，毁坏种植条件的，由市或者区、县土地行政主管部门责令限期改正或者治理，恢复种植条件，处占用基本农田的耕地开垦费一倍至二倍的罚款；构成犯罪的，依法追究刑事责任。</w:t>
      </w:r>
    </w:p>
    <w:p>
      <w:pPr>
        <w:pStyle w:val="P11"/>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违反本条例第二十二条第（三）项规定的，由环境保护行政主管部门依照环境保护的有关法律、法规予以处罚。</w:t>
      </w:r>
    </w:p>
    <w:p>
      <w:pPr>
        <w:pStyle w:val="P11"/>
        <w:spacing w:lineRule="exact" w:line="560"/>
        <w:contextualSpacing w:val="1"/>
        <w:rPr>
          <w:rStyle w:val="C3"/>
          <w:rFonts w:ascii="仿宋_GB2312" w:hAnsi="仿宋_GB2312"/>
        </w:rPr>
      </w:pPr>
      <w:r>
        <w:rPr>
          <w:rStyle w:val="C3"/>
          <w:rFonts w:ascii="Microsoft YaHei UI" w:hAnsi="Microsoft YaHei UI"/>
        </w:rPr>
        <w:t>第三十二条破坏或者擅自改变基本农田保护区保护标志的，由市或者区、县土地行政主管部门责令恢复原状，并可处以一千元以下的罚款。</w:t>
      </w:r>
    </w:p>
    <w:p>
      <w:pPr>
        <w:pStyle w:val="P11"/>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当事人对行政处罚不服的，可以依法申请行政复议或者向人民法院提起行政诉讼。</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 xml:space="preserve">第五章　附  则</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市人民政府可以根据本市实际情况，将其他农业生产用地划为保护区。保护区内其他农业生产用地的保护和管理，可以参照本条例执行。</w:t>
      </w:r>
    </w:p>
    <w:p>
      <w:pPr>
        <w:pStyle w:val="P11"/>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本条例自公布之日起施行。</w:t>
      </w:r>
    </w:p>
    <w:p>
      <w:pPr>
        <w:pStyle w:val="P1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3"/>
    <w:pPr>
      <w:spacing w:after="120"/>
      <w:ind w:left="420"/>
    </w:pPr>
    <w:rPr/>
  </w:style>
  <w:style w:type="paragraph" w:styleId="P3">
    <w:name w:val="正文文本缩进 2"/>
    <w:basedOn w:val="P1"/>
    <w:next w:val="P3"/>
    <w:link w:val="C26"/>
    <w:pPr>
      <w:spacing w:lineRule="auto" w:line="480" w:after="120"/>
      <w:ind w:left="420"/>
    </w:pPr>
    <w:rPr/>
  </w:style>
  <w:style w:type="paragraph" w:styleId="P4">
    <w:name w:val="页脚"/>
    <w:basedOn w:val="P1"/>
    <w:next w:val="P4"/>
    <w:link w:val="C9"/>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5"/>
    <w:pPr/>
    <w:rPr>
      <w:sz w:val="18"/>
    </w:rPr>
  </w:style>
  <w:style w:type="paragraph" w:styleId="P6">
    <w:name w:val="正文文本缩进 3"/>
    <w:basedOn w:val="P1"/>
    <w:next w:val="P6"/>
    <w:link w:val="C3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3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30"/>
    <w:pPr/>
    <w:rPr/>
  </w:style>
  <w:style w:type="paragraph" w:styleId="P10">
    <w:name w:val="日期"/>
    <w:basedOn w:val="P1"/>
    <w:next w:val="P1"/>
    <w:pPr>
      <w:ind w:left="100"/>
    </w:pPr>
    <w:rPr>
      <w:rFonts w:ascii="仿宋_GB2312" w:hAnsi="仿宋_GB2312"/>
    </w:rPr>
  </w:style>
  <w:style w:type="paragraph" w:styleId="P11">
    <w:name w:val="纯文本"/>
    <w:basedOn w:val="P1"/>
    <w:next w:val="P11"/>
    <w:link w:val="C8"/>
    <w:pPr/>
    <w:rPr>
      <w:rFonts w:ascii="华文宋体" w:hAnsi="华文宋体"/>
    </w:rPr>
  </w:style>
  <w:style w:type="paragraph" w:styleId="P12">
    <w:name w:val="列出段落"/>
    <w:basedOn w:val="P1"/>
    <w:next w:val="P12"/>
    <w:qFormat/>
    <w:pPr>
      <w:ind w:firstLine="420"/>
    </w:pPr>
    <w:rPr>
      <w:sz w:val="21"/>
    </w:rPr>
  </w:style>
  <w:style w:type="paragraph" w:styleId="P13">
    <w:name w:val="普通(网站)"/>
    <w:basedOn w:val="P1"/>
    <w:next w:val="P13"/>
    <w:link w:val="C27"/>
    <w:pPr>
      <w:widowControl w:val="1"/>
      <w:spacing w:before="100" w:after="100" w:beforeAutospacing="1" w:afterAutospacing="1"/>
      <w:jc w:val="left"/>
    </w:pPr>
    <w:rPr>
      <w:rFonts w:ascii="宋体" w:hAnsi="宋体"/>
      <w:sz w:val="24"/>
    </w:rPr>
  </w:style>
  <w:style w:type="paragraph" w:styleId="P14">
    <w:name w:val="正文文本 2"/>
    <w:basedOn w:val="P1"/>
    <w:next w:val="P14"/>
    <w:link w:val="C14"/>
    <w:pPr>
      <w:spacing w:lineRule="auto" w:line="480" w:after="120"/>
    </w:pPr>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24"/>
    <w:pPr/>
    <w:rPr>
      <w:rFonts w:ascii="仿宋_GB2312" w:hAnsi="仿宋_GB2312"/>
      <w:b w:val="1"/>
      <w:color w:val="000000"/>
    </w:rPr>
  </w:style>
  <w:style w:type="paragraph" w:styleId="P23">
    <w:name w:val="Char"/>
    <w:basedOn w:val="P1"/>
    <w:next w:val="P23"/>
    <w:pPr/>
    <w:rPr>
      <w:rFonts w:ascii="Tahoma" w:hAnsi="Tahoma"/>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3"/>
    <w:pPr>
      <w:widowControl w:val="1"/>
      <w:spacing w:before="100" w:after="100" w:beforeAutospacing="1" w:afterAutospacing="1"/>
      <w:jc w:val="left"/>
    </w:pPr>
    <w:rPr>
      <w:rFonts w:ascii="Arial Unicode MS" w:hAnsi="Arial Unicode MS"/>
      <w:sz w:val="24"/>
    </w:rPr>
  </w:style>
  <w:style w:type="paragraph" w:styleId="P36">
    <w:name w:val="msonormalcxspmiddle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zhang"/>
    <w:basedOn w:val="P1"/>
    <w:next w:val="P40"/>
    <w:pPr>
      <w:widowControl w:val="1"/>
      <w:spacing w:before="100" w:after="100" w:beforeAutospacing="1" w:afterAutospacing="1"/>
      <w:jc w:val="left"/>
    </w:pPr>
    <w:rPr>
      <w:rFonts w:ascii="宋体" w:hAnsi="宋体"/>
      <w:b w:val="1"/>
      <w:color w:val="000000"/>
      <w:sz w:val="20"/>
    </w:rPr>
  </w:style>
  <w:style w:type="paragraph" w:styleId="P41">
    <w:name w:val="样式1"/>
    <w:basedOn w:val="P11"/>
    <w:next w:val="P41"/>
    <w:link w:val="C43"/>
    <w:qFormat/>
    <w:pPr>
      <w:ind w:firstLine="632"/>
    </w:pPr>
    <w:rPr>
      <w:rFonts w:ascii="楷体_GB2312" w:hAnsi="楷体_GB2312"/>
    </w:rPr>
  </w:style>
  <w:style w:type="paragraph" w:styleId="P42">
    <w:name w:val="标题3"/>
    <w:basedOn w:val="P11"/>
    <w:next w:val="P42"/>
    <w:link w:val="C44"/>
    <w:qFormat/>
    <w:pPr>
      <w:ind w:firstLine="632"/>
      <w:jc w:val="center"/>
    </w:pPr>
    <w:rPr>
      <w:rFonts w:ascii="黑体" w:hAnsi="黑体"/>
    </w:rPr>
  </w:style>
  <w:style w:type="paragraph" w:styleId="P43">
    <w:name w:val="标题2"/>
    <w:basedOn w:val="P13"/>
    <w:next w:val="P43"/>
    <w:link w:val="C47"/>
    <w:pPr>
      <w:widowControl w:val="0"/>
      <w:jc w:val="center"/>
    </w:pPr>
    <w:rPr>
      <w:rFonts w:ascii="楷体_GB2312" w:hAnsi="楷体_GB2312"/>
      <w:color w:val="000000"/>
      <w:sz w:val="32"/>
    </w:rPr>
  </w:style>
  <w:style w:type="paragraph" w:styleId="P44">
    <w:name w:val="标题1"/>
    <w:basedOn w:val="P13"/>
    <w:next w:val="P44"/>
    <w:link w:val="C46"/>
    <w:qFormat/>
    <w:pPr>
      <w:spacing w:lineRule="exact" w:line="600"/>
      <w:jc w:val="center"/>
    </w:pPr>
    <w:rPr>
      <w:rFonts w:ascii="方正小标宋简体" w:hAnsi="方正小标宋简体"/>
      <w:color w:val="000000"/>
      <w:sz w:val="32"/>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basedOn w:val="C3"/>
    <w:rPr>
      <w:rFonts w:ascii="宋体" w:hAnsi="宋体"/>
      <w:sz w:val="21"/>
    </w:rPr>
  </w:style>
  <w:style w:type="character" w:styleId="C5">
    <w:name w:val="正文文本缩进 3 Char Char"/>
    <w:basedOn w:val="C3"/>
    <w:rPr>
      <w:sz w:val="32"/>
    </w:rPr>
  </w:style>
  <w:style w:type="character" w:styleId="C6">
    <w:name w:val="纯文本 Char Char"/>
    <w:basedOn w:val="C3"/>
    <w:rPr>
      <w:rFonts w:ascii="宋体" w:hAnsi="宋体"/>
      <w:sz w:val="32"/>
    </w:rPr>
  </w:style>
  <w:style w:type="character" w:styleId="C7">
    <w:name w:val="页脚 Char Char"/>
    <w:basedOn w:val="C3"/>
    <w:rPr>
      <w:sz w:val="18"/>
    </w:rPr>
  </w:style>
  <w:style w:type="character" w:styleId="C8">
    <w:name w:val="纯文本 Char"/>
    <w:basedOn w:val="C3"/>
    <w:link w:val="P11"/>
    <w:rPr>
      <w:rFonts w:ascii="华文宋体" w:hAnsi="华文宋体"/>
    </w:rPr>
  </w:style>
  <w:style w:type="character" w:styleId="C9">
    <w:name w:val="页脚 Char"/>
    <w:basedOn w:val="C3"/>
    <w:link w:val="P4"/>
    <w:rPr>
      <w:rFonts w:ascii="宋体" w:hAnsi="宋体"/>
      <w:sz w:val="18"/>
    </w:rPr>
  </w:style>
  <w:style w:type="character" w:styleId="C10">
    <w:name w:val="正文文本 Char1"/>
    <w:basedOn w:val="C3"/>
    <w:rPr>
      <w:rFonts w:ascii="Times New Roman" w:hAnsi="Times New Roman"/>
      <w:sz w:val="32"/>
    </w:rPr>
  </w:style>
  <w:style w:type="character" w:styleId="C11">
    <w:name w:val="正文文本 Char Char"/>
    <w:basedOn w:val="C3"/>
    <w:rPr>
      <w:sz w:val="32"/>
    </w:rPr>
  </w:style>
  <w:style w:type="character" w:styleId="C12">
    <w:name w:val="要点"/>
    <w:basedOn w:val="C3"/>
    <w:qFormat/>
    <w:rPr>
      <w:b w:val="1"/>
    </w:rPr>
  </w:style>
  <w:style w:type="character" w:styleId="C13">
    <w:name w:val="正文文本缩进 Char"/>
    <w:basedOn w:val="C3"/>
    <w:link w:val="P2"/>
    <w:rPr/>
  </w:style>
  <w:style w:type="character" w:styleId="C14">
    <w:name w:val="正文文本 2 Char"/>
    <w:basedOn w:val="C3"/>
    <w:link w:val="P14"/>
    <w:rPr/>
  </w:style>
  <w:style w:type="character" w:styleId="C15">
    <w:name w:val="超链接"/>
    <w:basedOn w:val="C3"/>
    <w:rPr>
      <w:color w:val="0000FF"/>
      <w:u w:val="single"/>
    </w:rPr>
  </w:style>
  <w:style w:type="character" w:styleId="C16">
    <w:name w:val="页码"/>
    <w:basedOn w:val="C3"/>
    <w:rPr/>
  </w:style>
  <w:style w:type="character" w:styleId="C17">
    <w:name w:val="强调"/>
    <w:basedOn w:val="C3"/>
    <w:qFormat/>
    <w:rPr>
      <w:color w:val="CC0000"/>
    </w:rPr>
  </w:style>
  <w:style w:type="character" w:styleId="C18">
    <w:name w:val="正文文本缩进 2 Char Char"/>
    <w:basedOn w:val="C3"/>
    <w:rPr>
      <w:b w:val="1"/>
      <w:sz w:val="32"/>
    </w:rPr>
  </w:style>
  <w:style w:type="character" w:styleId="C19">
    <w:name w:val="HTML 预设格式 Char"/>
    <w:basedOn w:val="C3"/>
    <w:rPr>
      <w:rFonts w:ascii="宋体" w:hAnsi="宋体"/>
      <w:sz w:val="24"/>
    </w:rPr>
  </w:style>
  <w:style w:type="character" w:styleId="C20">
    <w:name w:val="页脚 Char1"/>
    <w:basedOn w:val="C3"/>
    <w:rPr>
      <w:rFonts w:ascii="宋体" w:hAnsi="宋体"/>
      <w:sz w:val="18"/>
    </w:rPr>
  </w:style>
  <w:style w:type="character" w:styleId="C21">
    <w:name w:val="日期 Char Char"/>
    <w:basedOn w:val="C3"/>
    <w:rPr>
      <w:rFonts w:ascii="仿宋_GB2312" w:hAnsi="仿宋_GB2312"/>
      <w:sz w:val="32"/>
    </w:rPr>
  </w:style>
  <w:style w:type="character" w:styleId="C22">
    <w:name w:val="HTML 预设格式 Char Char"/>
    <w:basedOn w:val="C3"/>
    <w:rPr>
      <w:rFonts w:ascii="宋体" w:hAnsi="宋体"/>
      <w:sz w:val="24"/>
    </w:rPr>
  </w:style>
  <w:style w:type="character" w:styleId="C23">
    <w:name w:val="Char Char4"/>
    <w:basedOn w:val="C3"/>
    <w:rPr>
      <w:rFonts w:ascii="文星仿宋" w:hAnsi="文星仿宋"/>
      <w:sz w:val="32"/>
    </w:rPr>
  </w:style>
  <w:style w:type="character" w:styleId="C24">
    <w:name w:val="样式2 Char Char"/>
    <w:basedOn w:val="C3"/>
    <w:link w:val="P22"/>
    <w:rPr>
      <w:rFonts w:ascii="仿宋_GB2312" w:hAnsi="仿宋_GB2312"/>
      <w:b w:val="1"/>
      <w:color w:val="000000"/>
    </w:rPr>
  </w:style>
  <w:style w:type="character" w:styleId="C25">
    <w:name w:val="批注框文本 Char"/>
    <w:basedOn w:val="C3"/>
    <w:link w:val="P5"/>
    <w:rPr>
      <w:sz w:val="18"/>
    </w:rPr>
  </w:style>
  <w:style w:type="character" w:styleId="C26">
    <w:name w:val="正文文本缩进 2 Char"/>
    <w:basedOn w:val="C3"/>
    <w:link w:val="P3"/>
    <w:rPr/>
  </w:style>
  <w:style w:type="character" w:styleId="C27">
    <w:name w:val="普通(网站) Char"/>
    <w:basedOn w:val="C3"/>
    <w:link w:val="P13"/>
    <w:rPr>
      <w:rFonts w:ascii="宋体" w:hAnsi="宋体"/>
      <w:sz w:val="24"/>
    </w:rPr>
  </w:style>
  <w:style w:type="character" w:styleId="C28">
    <w:name w:val="Char Char7"/>
    <w:basedOn w:val="C3"/>
    <w:rPr>
      <w:rFonts w:ascii="宋体" w:hAnsi="宋体"/>
      <w:sz w:val="21"/>
    </w:rPr>
  </w:style>
  <w:style w:type="character" w:styleId="C29">
    <w:name w:val="Char Char8"/>
    <w:basedOn w:val="C3"/>
    <w:rPr>
      <w:rFonts w:ascii="宋体" w:hAnsi="宋体"/>
      <w:sz w:val="24"/>
    </w:rPr>
  </w:style>
  <w:style w:type="character" w:styleId="C30">
    <w:name w:val="正文文本 Char"/>
    <w:basedOn w:val="C3"/>
    <w:link w:val="P9"/>
    <w:rPr/>
  </w:style>
  <w:style w:type="character" w:styleId="C31">
    <w:name w:val="test1"/>
    <w:basedOn w:val="C3"/>
    <w:rPr>
      <w:sz w:val="25"/>
    </w:rPr>
  </w:style>
  <w:style w:type="character" w:styleId="C32">
    <w:name w:val="正文文本缩进 3 Char"/>
    <w:basedOn w:val="C3"/>
    <w:link w:val="P6"/>
    <w:rPr>
      <w:sz w:val="16"/>
    </w:rPr>
  </w:style>
  <w:style w:type="character" w:styleId="C33">
    <w:name w:val="页眉 Char"/>
    <w:basedOn w:val="C3"/>
    <w:link w:val="P8"/>
    <w:rPr>
      <w:sz w:val="18"/>
    </w:rPr>
  </w:style>
  <w:style w:type="character" w:styleId="C34">
    <w:name w:val="页眉 Char Char"/>
    <w:basedOn w:val="C3"/>
    <w:rPr>
      <w:sz w:val="18"/>
    </w:rPr>
  </w:style>
  <w:style w:type="character" w:styleId="C35">
    <w:name w:val="样式2 Char"/>
    <w:basedOn w:val="C3"/>
    <w:rPr>
      <w:rFonts w:ascii="仿宋_GB2312" w:hAnsi="仿宋_GB2312"/>
      <w:b w:val="1"/>
      <w:color w:val="000000"/>
      <w:sz w:val="32"/>
    </w:rPr>
  </w:style>
  <w:style w:type="character" w:styleId="C36">
    <w:name w:val="正文文本缩进 Char Char"/>
    <w:basedOn w:val="C3"/>
    <w:rPr>
      <w:rFonts w:ascii="仿宋_GB2312" w:hAnsi="仿宋_GB2312"/>
      <w:sz w:val="32"/>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3 Char"/>
    <w:basedOn w:val="C4"/>
    <w:rPr>
      <w:rFonts w:ascii="黑体" w:hAnsi="黑体"/>
      <w:sz w:val="32"/>
    </w:rPr>
  </w:style>
  <w:style w:type="character" w:styleId="C42">
    <w:name w:val="样式1 Char"/>
    <w:basedOn w:val="C4"/>
    <w:rPr>
      <w:rFonts w:ascii="楷体_GB2312" w:hAnsi="楷体_GB2312"/>
      <w:sz w:val="32"/>
    </w:rPr>
  </w:style>
  <w:style w:type="character" w:styleId="C43">
    <w:name w:val="样式1 Char Char"/>
    <w:basedOn w:val="C8"/>
    <w:link w:val="P41"/>
    <w:rPr>
      <w:rFonts w:ascii="楷体_GB2312" w:hAnsi="楷体_GB2312"/>
    </w:rPr>
  </w:style>
  <w:style w:type="character" w:styleId="C44">
    <w:name w:val="标题3 Char Char"/>
    <w:basedOn w:val="C8"/>
    <w:link w:val="P42"/>
    <w:rPr>
      <w:rFonts w:ascii="黑体" w:hAnsi="黑体"/>
    </w:rPr>
  </w:style>
  <w:style w:type="character" w:styleId="C45">
    <w:name w:val="样式3 Char Char"/>
    <w:basedOn w:val="C24"/>
    <w:link w:val="P45"/>
    <w:rPr/>
  </w:style>
  <w:style w:type="character" w:styleId="C46">
    <w:name w:val="标题1 Char Char"/>
    <w:basedOn w:val="C27"/>
    <w:link w:val="P44"/>
    <w:rPr>
      <w:rFonts w:ascii="方正小标宋简体" w:hAnsi="方正小标宋简体"/>
      <w:color w:val="000000"/>
      <w:sz w:val="32"/>
    </w:rPr>
  </w:style>
  <w:style w:type="character" w:styleId="C47">
    <w:name w:val="标题2 Char Char"/>
    <w:basedOn w:val="C27"/>
    <w:link w:val="P43"/>
    <w:rPr>
      <w:rFonts w:ascii="楷体_GB2312" w:hAnsi="楷体_GB2312"/>
      <w:color w:val="000000"/>
      <w:sz w:val="32"/>
    </w:rPr>
  </w:style>
  <w:style w:type="character" w:styleId="C48">
    <w:name w:val="标题1 Char"/>
    <w:basedOn w:val="C27"/>
    <w:rPr>
      <w:rFonts w:ascii="方正小标宋简体" w:hAnsi="方正小标宋简体"/>
      <w:color w:val="000000"/>
      <w:sz w:val="32"/>
    </w:rPr>
  </w:style>
  <w:style w:type="character" w:styleId="C49">
    <w:name w:val="标题2 Char"/>
    <w:basedOn w:val="C27"/>
    <w:rPr>
      <w:rFonts w:ascii="楷体_GB2312" w:hAnsi="楷体_GB2312"/>
      <w:color w:val="000000"/>
      <w:sz w:val="32"/>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