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9BF84F" Type="http://schemas.openxmlformats.org/officeDocument/2006/relationships/officeDocument" Target="/word/document.xml" /><Relationship Id="coreR629BF84F" Type="http://schemas.openxmlformats.org/package/2006/relationships/metadata/core-properties" Target="/docProps/core.xml" /><Relationship Id="customR629BF84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pPr>
    </w:p>
    <w:p>
      <w:pPr>
        <w:pStyle w:val="P5"/>
      </w:pPr>
    </w:p>
    <w:p>
      <w:pPr>
        <w:pStyle w:val="P1"/>
        <w:spacing w:lineRule="exact" w:line="720"/>
        <w:jc w:val="center"/>
        <w:rPr>
          <w:rStyle w:val="C3"/>
          <w:rFonts w:ascii="宋体" w:hAnsi="宋体"/>
          <w:sz w:val="44"/>
        </w:rPr>
      </w:pPr>
      <w:r>
        <w:rPr>
          <w:rStyle w:val="C3"/>
          <w:rFonts w:ascii="宋体" w:hAnsi="宋体"/>
          <w:sz w:val="44"/>
        </w:rPr>
        <w:t>天津市人民代表大会常务委员会关于天津市</w:t>
      </w:r>
    </w:p>
    <w:p>
      <w:pPr>
        <w:pStyle w:val="P5"/>
        <w:jc w:val="center"/>
        <w:rPr>
          <w:rStyle w:val="C3"/>
          <w:rFonts w:ascii="宋体" w:hAnsi="宋体"/>
          <w:sz w:val="44"/>
        </w:rPr>
      </w:pPr>
      <w:r>
        <w:rPr>
          <w:rStyle w:val="C3"/>
          <w:rFonts w:ascii="宋体" w:hAnsi="宋体"/>
          <w:sz w:val="44"/>
        </w:rPr>
        <w:t>耕地占用税具体适用税额的决定</w:t>
      </w:r>
    </w:p>
    <w:p>
      <w:pPr>
        <w:pStyle w:val="P1"/>
        <w:widowControl w:val="1"/>
        <w:ind w:firstLine="624"/>
        <w:jc w:val="left"/>
        <w:rPr>
          <w:rStyle w:val="C3"/>
          <w:rFonts w:ascii="宋体" w:hAnsi="宋体"/>
          <w:color w:val="000000"/>
          <w:sz w:val="32"/>
        </w:rPr>
      </w:pPr>
    </w:p>
    <w:p>
      <w:pPr>
        <w:pStyle w:val="P1"/>
        <w:widowControl w:val="1"/>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日天津市第十七届人民</w:t>
      </w:r>
    </w:p>
    <w:p>
      <w:pPr>
        <w:pStyle w:val="P1"/>
        <w:widowControl w:val="1"/>
        <w:jc w:val="center"/>
        <w:rPr>
          <w:rStyle w:val="C3"/>
          <w:rFonts w:ascii="楷体_GB2312" w:hAnsi="楷体_GB2312"/>
          <w:color w:val="000000"/>
          <w:sz w:val="32"/>
        </w:rPr>
      </w:pPr>
      <w:r>
        <w:rPr>
          <w:rStyle w:val="C3"/>
          <w:rFonts w:ascii="Microsoft YaHei UI" w:hAnsi="Microsoft YaHei UI"/>
          <w:color w:val="000000"/>
          <w:sz w:val="32"/>
        </w:rPr>
        <w:t>代表大会常务委员会第十一次会议通过）</w:t>
      </w:r>
    </w:p>
    <w:p>
      <w:pPr>
        <w:pStyle w:val="P1"/>
        <w:widowControl w:val="1"/>
        <w:ind w:firstLine="624"/>
        <w:rPr>
          <w:rStyle w:val="C3"/>
          <w:rFonts w:ascii="仿宋_GB2312" w:hAnsi="仿宋_GB2312"/>
          <w:color w:val="000000"/>
          <w:sz w:val="32"/>
        </w:rPr>
      </w:pPr>
    </w:p>
    <w:p>
      <w:pPr>
        <w:pStyle w:val="P5"/>
        <w:keepNext w:val="0"/>
        <w:keepLines w:val="0"/>
        <w:widowControl w:val="0"/>
        <w:spacing w:lineRule="atLeast" w:line="300"/>
        <w:ind w:firstLine="612"/>
      </w:pPr>
      <w:r>
        <w:rPr>
          <w:rFonts w:ascii="方正姚体" w:hAnsi="方正姚体"/>
        </w:rPr>
        <w:t>为了合理利用土地资源，加强土地管理，保护耕地，根据《中华人民共和国耕地占用税法》，结合本市实际，作如下决定：</w:t>
      </w:r>
    </w:p>
    <w:p>
      <w:pPr>
        <w:pStyle w:val="P5"/>
        <w:keepNext w:val="0"/>
        <w:keepLines w:val="0"/>
        <w:widowControl w:val="0"/>
        <w:spacing w:lineRule="atLeast" w:line="300"/>
        <w:ind w:firstLine="612"/>
      </w:pPr>
      <w:r>
        <w:rPr>
          <w:rFonts w:ascii="方正姚体" w:hAnsi="方正姚体"/>
        </w:rPr>
        <w:t>一、在本市行政区域内占用耕地、园地、林地、草地、农田水利用地、养殖水面、渔业水域滩涂以及其他农用地，建设建筑物、构筑物或者从事非农业建设的单位和个人，应当依照《中华人民共和国耕地占用税法》和本决定缴纳耕地占用税。</w:t>
      </w:r>
    </w:p>
    <w:p>
      <w:pPr>
        <w:pStyle w:val="P5"/>
        <w:keepNext w:val="0"/>
        <w:keepLines w:val="0"/>
        <w:widowControl w:val="0"/>
        <w:spacing w:lineRule="atLeast" w:line="300"/>
        <w:ind w:firstLine="612"/>
      </w:pPr>
      <w:r>
        <w:rPr>
          <w:rFonts w:ascii="方正姚体" w:hAnsi="方正姚体"/>
        </w:rPr>
        <w:t>占用耕地建设农田水利设施的，或者占用园地、林地、草地、农田水利用地、养殖水面、渔业水域滩涂以及其他农用地建设直接为农业生产服务的生产设施的，不缴纳耕地占用税。</w:t>
      </w:r>
    </w:p>
    <w:p>
      <w:pPr>
        <w:pStyle w:val="P5"/>
        <w:keepNext w:val="0"/>
        <w:keepLines w:val="0"/>
        <w:widowControl w:val="0"/>
        <w:spacing w:lineRule="atLeast" w:line="300"/>
        <w:ind w:firstLine="612"/>
      </w:pPr>
      <w:r>
        <w:rPr>
          <w:rFonts w:ascii="方正姚体" w:hAnsi="方正姚体"/>
        </w:rPr>
        <w:t>二、在本市滨海新区、东丽区、西青区、津南区、北辰区行政区域内占用耕地的，每平方米适用税额为四十元。</w:t>
      </w:r>
    </w:p>
    <w:p>
      <w:pPr>
        <w:pStyle w:val="P5"/>
        <w:keepNext w:val="0"/>
        <w:keepLines w:val="0"/>
        <w:widowControl w:val="0"/>
        <w:spacing w:lineRule="atLeast" w:line="300"/>
        <w:ind w:firstLine="612"/>
      </w:pPr>
      <w:r>
        <w:rPr>
          <w:rFonts w:ascii="方正姚体" w:hAnsi="方正姚体"/>
        </w:rPr>
        <w:t>在本市武清区、宝坻区、宁河区、静海区、蓟州区行政区域内占用耕地的，每平方米适用税额为三十元。</w:t>
      </w:r>
    </w:p>
    <w:p>
      <w:pPr>
        <w:pStyle w:val="P5"/>
        <w:keepNext w:val="0"/>
        <w:keepLines w:val="0"/>
        <w:widowControl w:val="0"/>
        <w:spacing w:lineRule="atLeast" w:line="300"/>
        <w:ind w:firstLine="612"/>
      </w:pPr>
      <w:r>
        <w:rPr>
          <w:rFonts w:ascii="方正姚体" w:hAnsi="方正姚体"/>
        </w:rPr>
        <w:t>三、在本市滨海新区、东丽区、西青区、津南区、北辰区行政区域内，占用园地、林地、草地、农田水利用地、养殖水面、渔业水域滩涂以及其他农用地的，每平方米适用税额为二十八元。</w:t>
      </w:r>
    </w:p>
    <w:p>
      <w:pPr>
        <w:pStyle w:val="P5"/>
        <w:keepNext w:val="0"/>
        <w:keepLines w:val="0"/>
        <w:widowControl w:val="0"/>
        <w:spacing w:lineRule="atLeast" w:line="300"/>
        <w:ind w:firstLine="612"/>
      </w:pPr>
      <w:r>
        <w:rPr>
          <w:rFonts w:ascii="方正姚体" w:hAnsi="方正姚体"/>
        </w:rPr>
        <w:t>在本市武清区、宝坻区、静海区、宁河区、蓟州区行政区域内，占用前款规定的农用地的，每平方米适用税额为二十一元。</w:t>
      </w:r>
    </w:p>
    <w:p>
      <w:pPr>
        <w:pStyle w:val="P5"/>
        <w:keepNext w:val="0"/>
        <w:keepLines w:val="0"/>
        <w:widowControl w:val="0"/>
        <w:spacing w:lineRule="atLeast" w:line="300"/>
        <w:ind w:firstLine="612"/>
        <w:rPr>
          <w:rStyle w:val="C3"/>
          <w:rFonts w:ascii="仿宋_GB2312" w:hAnsi="仿宋_GB2312"/>
        </w:rPr>
      </w:pPr>
      <w:r>
        <w:rPr>
          <w:rFonts w:ascii="方正姚体" w:hAnsi="方正姚体"/>
        </w:rPr>
        <w:t>四、本决定</w:t>
      </w:r>
      <w:r>
        <w:rPr>
          <w:rStyle w:val="C3"/>
          <w:rFonts w:ascii="Microsoft YaHei UI" w:hAnsi="Microsoft YaHei UI"/>
        </w:rPr>
        <w:t>自</w:t>
      </w:r>
      <w:r>
        <w:rPr>
          <w:rStyle w:val="C3"/>
          <w:rFonts w:ascii="仿宋_GB2312" w:hAnsi="仿宋_GB2312"/>
        </w:rPr>
        <w:t>2019</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日起施行。《天津市实施〈中华人民共和国耕地占用税暂行条例〉办法》（</w:t>
      </w:r>
      <w:r>
        <w:rPr>
          <w:rStyle w:val="C3"/>
          <w:rFonts w:ascii="仿宋_GB2312" w:hAnsi="仿宋_GB2312"/>
        </w:rPr>
        <w:t>2008</w:t>
      </w:r>
      <w:r>
        <w:rPr>
          <w:rStyle w:val="C3"/>
          <w:rFonts w:ascii="Microsoft YaHei UI" w:hAnsi="Microsoft YaHei UI"/>
        </w:rPr>
        <w:t>年天津市人民政府令第</w:t>
      </w:r>
      <w:r>
        <w:rPr>
          <w:rStyle w:val="C3"/>
          <w:rFonts w:ascii="仿宋_GB2312" w:hAnsi="仿宋_GB2312"/>
        </w:rPr>
        <w:t>6</w:t>
      </w:r>
      <w:r>
        <w:rPr>
          <w:rStyle w:val="C3"/>
          <w:rFonts w:ascii="Microsoft YaHei UI" w:hAnsi="Microsoft YaHei UI"/>
        </w:rPr>
        <w:t>号）同时废止。</w:t>
      </w:r>
    </w:p>
    <w:p>
      <w:pPr>
        <w:pStyle w:val="P5"/>
        <w:keepNext w:val="0"/>
        <w:keepLines w:val="0"/>
        <w:widowControl w:val="0"/>
        <w:spacing w:lineRule="atLeast" w:line="300"/>
        <w:rPr>
          <w:rStyle w:val="C3"/>
        </w:rPr>
      </w:pPr>
    </w:p>
    <w:p>
      <w:pPr>
        <w:pStyle w:val="P5"/>
        <w:keepNext w:val="0"/>
        <w:keepLines w:val="0"/>
        <w:widowControl w:val="0"/>
        <w:spacing w:lineRule="atLeast" w:line="300"/>
        <w:rPr>
          <w:rStyle w:val="C3"/>
        </w:rPr>
      </w:pPr>
    </w:p>
    <w:p>
      <w:pPr>
        <w:pStyle w:val="P5"/>
        <w:keepNext w:val="0"/>
        <w:keepLines w:val="0"/>
        <w:widowControl w:val="0"/>
        <w:spacing w:lineRule="atLeast" w:line="300"/>
        <w:rPr>
          <w:rStyle w:val="C3"/>
        </w:rPr>
      </w:pPr>
    </w:p>
    <w:p>
      <w:pPr>
        <w:pStyle w:val="P5"/>
        <w:keepNext w:val="0"/>
        <w:keepLines w:val="0"/>
        <w:widowControl w:val="0"/>
        <w:spacing w:lineRule="atLeast" w:line="300"/>
        <w:rPr>
          <w:rStyle w:val="C3"/>
        </w:rPr>
      </w:pPr>
    </w:p>
    <w:p>
      <w:pPr>
        <w:pStyle w:val="P5"/>
        <w:keepNext w:val="0"/>
        <w:keepLines w:val="0"/>
        <w:widowControl w:val="0"/>
        <w:spacing w:lineRule="atLeast" w:line="300"/>
        <w:rPr>
          <w:rStyle w:val="C3"/>
        </w:rPr>
      </w:pPr>
    </w:p>
    <w:p>
      <w:pPr>
        <w:pStyle w:val="P5"/>
        <w:keepNext w:val="0"/>
        <w:keepLines w:val="0"/>
        <w:widowControl w:val="0"/>
        <w:spacing w:lineRule="atLeast" w:line="300"/>
        <w:rPr>
          <w:rStyle w:val="C3"/>
        </w:rPr>
      </w:pPr>
    </w:p>
    <w:p>
      <w:pPr>
        <w:pStyle w:val="P5"/>
        <w:keepNext w:val="0"/>
        <w:keepLines w:val="0"/>
        <w:widowControl w:val="0"/>
        <w:spacing w:lineRule="atLeast" w:line="300"/>
        <w:rPr>
          <w:rStyle w:val="C3"/>
        </w:rPr>
      </w:pPr>
    </w:p>
    <w:p>
      <w:pPr>
        <w:pStyle w:val="P5"/>
        <w:keepNext w:val="0"/>
        <w:keepLines w:val="0"/>
        <w:widowControl w:val="0"/>
        <w:spacing w:lineRule="atLeast" w:line="300"/>
        <w:rPr>
          <w:rStyle w:val="C3"/>
        </w:rPr>
      </w:pPr>
    </w:p>
    <w:p>
      <w:pPr>
        <w:pStyle w:val="P5"/>
        <w:rPr>
          <w:rStyle w:val="C3"/>
        </w:rPr>
      </w:pPr>
    </w:p>
    <w:p>
      <w:pPr>
        <w:pStyle w:val="P5"/>
        <w:rPr>
          <w:rStyle w:val="C3"/>
        </w:rPr>
      </w:pPr>
    </w:p>
    <w:p>
      <w:pPr>
        <w:pStyle w:val="P5"/>
        <w:rPr>
          <w:rStyle w:val="C3"/>
        </w:rPr>
      </w:pPr>
    </w:p>
    <w:p>
      <w:pPr>
        <w:pStyle w:val="P5"/>
        <w:rPr>
          <w:rStyle w:val="C3"/>
        </w:rPr>
      </w:pPr>
    </w:p>
    <w:p>
      <w:pPr>
        <w:pStyle w:val="P5"/>
        <w:rPr>
          <w:rStyle w:val="C3"/>
        </w:rPr>
      </w:pPr>
    </w:p>
    <w:sectPr>
      <w:headerReference xmlns:r="http://schemas.openxmlformats.org/officeDocument/2006/relationships" w:type="defaul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88" w:right="1474" w:top="2098" w:bottom="1985" w:header="851" w:footer="1701" w:gutter="0"/>
      <w:pgNumType w:start="1"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ind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tabs>
        <w:tab w:val="center" w:pos="4153" w:leader="none"/>
        <w:tab w:val="right" w:pos="8306" w:leader="none"/>
      </w:tabs>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正文文本"/>
    <w:basedOn w:val="P1"/>
    <w:next w:val="P5"/>
    <w:pPr/>
    <w:rPr>
      <w:sz w:val="32"/>
    </w:rPr>
  </w:style>
  <w:style w:type="paragraph" w:styleId="P6">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页脚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jsj</dc:creator>
  <dcterms:created xsi:type="dcterms:W3CDTF">2019-05-17T06:46:00Z</dcterms:created>
  <cp:lastModifiedBy>f1TZOF\f1TZOF-</cp:lastModifiedBy>
  <cp:lastPrinted>2019-01-09T10:28:00Z</cp:lastPrinted>
  <dcterms:modified xsi:type="dcterms:W3CDTF">2024-08-28T01:36:10Z</dcterms:modified>
  <cp:revision>2</cp:revision>
  <dc:title>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2052-11.1.0.8412</vt:lpwstr>
  </property>
</Properties>
</file>