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F7DA2B" Type="http://schemas.openxmlformats.org/officeDocument/2006/relationships/officeDocument" Target="/word/document.xml" /><Relationship Id="coreR68F7DA2B" Type="http://schemas.openxmlformats.org/package/2006/relationships/metadata/core-properties" Target="/docProps/core.xml" /><Relationship Id="customR68F7DA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宋体" w:hAnsi="宋体"/>
          <w:sz w:val="44"/>
        </w:rPr>
        <w:t>吉林省促进科技企业发展条例</w:t>
      </w:r>
    </w:p>
    <w:p>
      <w:pPr>
        <w:pStyle w:val="P1"/>
        <w:spacing w:lineRule="exact" w:line="580"/>
        <w:ind w:left="630" w:right="63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w:t>
      </w:r>
      <w:r>
        <w:rPr>
          <w:rStyle w:val="C3"/>
          <w:rFonts w:ascii="黑体" w:hAnsi="黑体"/>
          <w:sz w:val="32"/>
        </w:rPr>
        <w:t>吉林</w:t>
      </w:r>
      <w:r>
        <w:rPr>
          <w:rStyle w:val="C3"/>
          <w:rFonts w:ascii="Microsoft YaHei UI" w:hAnsi="Microsoft YaHei UI"/>
          <w:sz w:val="32"/>
        </w:rPr>
        <w:t>省</w:t>
      </w:r>
      <w:r>
        <w:rPr>
          <w:rStyle w:val="C3"/>
          <w:rFonts w:ascii="黑体" w:hAnsi="黑体"/>
          <w:sz w:val="32"/>
        </w:rPr>
        <w:t>第</w:t>
      </w:r>
      <w:r>
        <w:rPr>
          <w:rStyle w:val="C3"/>
          <w:rFonts w:ascii="Microsoft YaHei UI" w:hAnsi="Microsoft YaHei UI"/>
          <w:sz w:val="32"/>
        </w:rPr>
        <w:t>十届人</w:t>
      </w:r>
      <w:r>
        <w:rPr>
          <w:rStyle w:val="C3"/>
          <w:rFonts w:ascii="黑体" w:hAnsi="黑体"/>
          <w:sz w:val="32"/>
        </w:rPr>
        <w:t>民代表</w:t>
      </w:r>
      <w:r>
        <w:rPr>
          <w:rStyle w:val="C3"/>
          <w:rFonts w:ascii="Microsoft YaHei UI" w:hAnsi="Microsoft YaHei UI"/>
          <w:sz w:val="32"/>
        </w:rPr>
        <w:t>大</w:t>
      </w:r>
      <w:r>
        <w:rPr>
          <w:rStyle w:val="C3"/>
          <w:rFonts w:ascii="黑体" w:hAnsi="黑体"/>
          <w:sz w:val="32"/>
        </w:rPr>
        <w:t>会</w:t>
      </w:r>
      <w:r>
        <w:rPr>
          <w:rStyle w:val="C3"/>
          <w:rFonts w:ascii="Microsoft YaHei UI" w:hAnsi="Microsoft YaHei UI"/>
          <w:sz w:val="32"/>
        </w:rPr>
        <w:t>常</w:t>
      </w:r>
      <w:r>
        <w:rPr>
          <w:rStyle w:val="C3"/>
          <w:rFonts w:ascii="黑体" w:hAnsi="黑体"/>
          <w:sz w:val="32"/>
        </w:rPr>
        <w:t>务</w:t>
      </w:r>
      <w:r>
        <w:rPr>
          <w:rStyle w:val="C3"/>
          <w:rFonts w:ascii="Microsoft YaHei UI" w:hAnsi="Microsoft YaHei UI"/>
          <w:sz w:val="32"/>
        </w:rPr>
        <w:t>委</w:t>
      </w:r>
      <w:r>
        <w:rPr>
          <w:rStyle w:val="C3"/>
          <w:rFonts w:ascii="黑体" w:hAnsi="黑体"/>
          <w:sz w:val="32"/>
        </w:rPr>
        <w:t>员</w:t>
      </w:r>
      <w:r>
        <w:rPr>
          <w:rStyle w:val="C3"/>
          <w:rFonts w:ascii="Microsoft YaHei UI" w:hAnsi="Microsoft YaHei UI"/>
          <w:sz w:val="32"/>
        </w:rPr>
        <w:t>会第十六次会议通过）</w:t>
      </w:r>
    </w:p>
    <w:p>
      <w:pPr>
        <w:pStyle w:val="P1"/>
        <w:spacing w:lineRule="exact" w:line="580"/>
        <w:ind w:firstLine="640"/>
        <w:jc w:val="center"/>
        <w:rPr>
          <w:rStyle w:val="C3"/>
          <w:rFonts w:ascii="楷体_GB2312" w:hAnsi="楷体_GB2312"/>
          <w:sz w:val="32"/>
        </w:rPr>
      </w:pPr>
    </w:p>
    <w:p>
      <w:pPr>
        <w:pStyle w:val="P1"/>
        <w:spacing w:lineRule="exact" w:line="58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"_Toc19766" </w:instrText>
      </w:r>
      <w:r>
        <w:fldChar w:fldCharType="separate"/>
      </w:r>
      <w:r>
        <w:rPr>
          <w:rStyle w:val="C3"/>
          <w:rFonts w:ascii="Microsoft YaHei UI" w:hAnsi="Microsoft YaHei UI"/>
          <w:sz w:val="32"/>
        </w:rPr>
        <w:t>第一章　总则</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"_Toc27876" </w:instrText>
      </w:r>
      <w:r>
        <w:fldChar w:fldCharType="separate"/>
      </w:r>
      <w:r>
        <w:rPr>
          <w:rStyle w:val="C3"/>
          <w:rFonts w:ascii="Microsoft YaHei UI" w:hAnsi="Microsoft YaHei UI"/>
          <w:sz w:val="32"/>
        </w:rPr>
        <w:t>第二章　确认与管理</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"_Toc22575" </w:instrText>
      </w:r>
      <w:r>
        <w:fldChar w:fldCharType="separate"/>
      </w:r>
      <w:r>
        <w:rPr>
          <w:rStyle w:val="C3"/>
          <w:rFonts w:ascii="Microsoft YaHei UI" w:hAnsi="Microsoft YaHei UI"/>
          <w:sz w:val="32"/>
        </w:rPr>
        <w:t>第三章　鼓励与扶持</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"_Toc11260" </w:instrText>
      </w:r>
      <w:r>
        <w:fldChar w:fldCharType="separate"/>
      </w:r>
      <w:r>
        <w:rPr>
          <w:rStyle w:val="C3"/>
          <w:rFonts w:ascii="Microsoft YaHei UI" w:hAnsi="Microsoft YaHei UI"/>
          <w:sz w:val="32"/>
        </w:rPr>
        <w:t>第四章　保护与服务</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"_Toc20856" </w:instrText>
      </w:r>
      <w:r>
        <w:fldChar w:fldCharType="separate"/>
      </w:r>
      <w:r>
        <w:rPr>
          <w:rStyle w:val="C3"/>
          <w:rFonts w:ascii="Microsoft YaHei UI" w:hAnsi="Microsoft YaHei UI"/>
          <w:sz w:val="32"/>
        </w:rPr>
        <w:t>第五章　法律责任</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"_Toc6289" </w:instrText>
      </w:r>
      <w:r>
        <w:fldChar w:fldCharType="separate"/>
      </w:r>
      <w:r>
        <w:rPr>
          <w:rStyle w:val="C3"/>
          <w:rFonts w:ascii="Microsoft YaHei UI" w:hAnsi="Microsoft YaHei UI"/>
          <w:sz w:val="32"/>
        </w:rPr>
        <w:t>第六章　附则</w:t>
      </w:r>
      <w:r>
        <w:rPr>
          <w:rStyle w:val="C3"/>
          <w:rFonts w:ascii="楷体_GB2312" w:hAnsi="楷体_GB2312"/>
          <w:sz w:val="32"/>
        </w:rPr>
        <w:fldChar w:fldCharType="end"/>
      </w:r>
    </w:p>
    <w:p>
      <w:pPr>
        <w:pStyle w:val="P1"/>
        <w:spacing w:lineRule="exact" w:line="580"/>
        <w:rPr>
          <w:rStyle w:val="C3"/>
          <w:rFonts w:ascii="楷体_GB2312" w:hAnsi="楷体_GB2312"/>
          <w:sz w:val="32"/>
        </w:rPr>
      </w:pPr>
      <w:r>
        <w:rPr>
          <w:rStyle w:val="C3"/>
          <w:rFonts w:ascii="楷体_GB2312" w:hAnsi="楷体_GB2312"/>
          <w:sz w:val="32"/>
        </w:rPr>
        <w:fldChar w:fldCharType="end"/>
      </w:r>
    </w:p>
    <w:p>
      <w:pPr>
        <w:pStyle w:val="P2"/>
        <w:rPr>
          <w:rStyle w:val="C3"/>
        </w:rPr>
      </w:pPr>
      <w:bookmarkStart w:id="0" w:name="_Toc19766"/>
      <w:r>
        <w:rPr>
          <w:rStyle w:val="C3"/>
          <w:rFonts w:ascii="Microsoft YaHei UI" w:hAnsi="Microsoft YaHei UI"/>
        </w:rPr>
        <w:t>第一章　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为了促进我省科技企业发展，根据国家有关法律、法规，结合本省实际，制定本条例。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本条例所称科技企业是指以技术创新为主旨，主要从事科技成果产业化以及技术开发、技术转让、技术咨询、技术服务等活动的企业。</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各级人民政府及其有关行政部门应当按照各自的职责，做好对科技企业的扶持和服务工作，促进科技企业快速、健康的发展。</w:t>
      </w:r>
    </w:p>
    <w:p>
      <w:pPr>
        <w:pStyle w:val="P1"/>
        <w:spacing w:lineRule="exact" w:line="580"/>
        <w:ind w:firstLine="640"/>
        <w:rPr>
          <w:rStyle w:val="C3"/>
          <w:rFonts w:ascii="仿宋_GB2312" w:hAnsi="仿宋_GB2312"/>
          <w:sz w:val="32"/>
        </w:rPr>
      </w:pPr>
    </w:p>
    <w:p>
      <w:pPr>
        <w:pStyle w:val="P2"/>
      </w:pPr>
      <w:bookmarkStart w:id="1" w:name="_Toc27876"/>
      <w:r>
        <w:rPr>
          <w:rFonts w:ascii="Microsoft YaHei UI" w:hAnsi="Microsoft YaHei UI"/>
        </w:rPr>
        <w:t>第二章　确认与管理</w:t>
      </w:r>
      <w:bookmarkEnd w:id="1"/>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符合以下条件的企业，到所在地市（州）以上人民政府科技行政部门申请，确认为科技企业：</w:t>
      </w:r>
    </w:p>
    <w:p>
      <w:pPr>
        <w:pStyle w:val="P1"/>
        <w:spacing w:lineRule="exact" w:line="580"/>
        <w:ind w:firstLine="640"/>
        <w:rPr>
          <w:rStyle w:val="C3"/>
          <w:rFonts w:ascii="仿宋_GB2312" w:hAnsi="仿宋_GB2312"/>
          <w:sz w:val="32"/>
        </w:rPr>
      </w:pPr>
      <w:r>
        <w:rPr>
          <w:rStyle w:val="C3"/>
          <w:rFonts w:ascii="Microsoft YaHei UI" w:hAnsi="Microsoft YaHei UI"/>
          <w:sz w:val="32"/>
        </w:rPr>
        <w:t>（一）在吉林省辖区内注册的企业；</w:t>
      </w:r>
    </w:p>
    <w:p>
      <w:pPr>
        <w:pStyle w:val="P1"/>
        <w:spacing w:lineRule="exact" w:line="580"/>
        <w:ind w:firstLine="640"/>
        <w:rPr>
          <w:rStyle w:val="C3"/>
          <w:rFonts w:ascii="仿宋_GB2312" w:hAnsi="仿宋_GB2312"/>
          <w:sz w:val="32"/>
        </w:rPr>
      </w:pPr>
      <w:r>
        <w:rPr>
          <w:rStyle w:val="C3"/>
          <w:rFonts w:ascii="Microsoft YaHei UI" w:hAnsi="Microsoft YaHei UI"/>
          <w:sz w:val="32"/>
        </w:rPr>
        <w:t>（二）以技术创新为主旨，以新产品研制、开发、生产和技术转让、技术咨询、技术服务为主要业务；</w:t>
      </w:r>
    </w:p>
    <w:p>
      <w:pPr>
        <w:pStyle w:val="P1"/>
        <w:spacing w:lineRule="exact" w:line="580"/>
        <w:ind w:firstLine="640"/>
        <w:rPr>
          <w:rStyle w:val="C3"/>
          <w:rFonts w:ascii="仿宋_GB2312" w:hAnsi="仿宋_GB2312"/>
          <w:sz w:val="32"/>
        </w:rPr>
      </w:pPr>
      <w:r>
        <w:rPr>
          <w:rStyle w:val="C3"/>
          <w:rFonts w:ascii="Microsoft YaHei UI" w:hAnsi="Microsoft YaHei UI"/>
          <w:sz w:val="32"/>
        </w:rPr>
        <w:t>（三）具有大专以上学历的人员占职工总数的比例不低于</w:t>
      </w:r>
      <w:r>
        <w:rPr>
          <w:rStyle w:val="C3"/>
          <w:rFonts w:ascii="仿宋_GB2312" w:hAnsi="仿宋_GB2312"/>
          <w:sz w:val="32"/>
        </w:rPr>
        <w:t>30%</w:t>
      </w:r>
      <w:r>
        <w:rPr>
          <w:rStyle w:val="C3"/>
          <w:rFonts w:ascii="Microsoft YaHei UI" w:hAnsi="Microsoft YaHei UI"/>
          <w:sz w:val="32"/>
        </w:rPr>
        <w:t>，直接从事研究开发的科技人员占职工总数的比例不低于</w:t>
      </w:r>
      <w:r>
        <w:rPr>
          <w:rStyle w:val="C3"/>
          <w:rFonts w:ascii="仿宋_GB2312" w:hAnsi="仿宋_GB2312"/>
          <w:sz w:val="32"/>
        </w:rPr>
        <w:t>10%</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（四）资产负债率不超过</w:t>
      </w:r>
      <w:r>
        <w:rPr>
          <w:rStyle w:val="C3"/>
          <w:rFonts w:ascii="仿宋_GB2312" w:hAnsi="仿宋_GB2312"/>
          <w:sz w:val="32"/>
        </w:rPr>
        <w:t>70%</w:t>
      </w:r>
      <w:r>
        <w:rPr>
          <w:rStyle w:val="C3"/>
          <w:rFonts w:ascii="Microsoft YaHei UI" w:hAnsi="Microsoft YaHei UI"/>
          <w:sz w:val="32"/>
        </w:rPr>
        <w:t>，技术性收入占年总收入的</w:t>
      </w:r>
      <w:r>
        <w:rPr>
          <w:rStyle w:val="C3"/>
          <w:rFonts w:ascii="仿宋_GB2312" w:hAnsi="仿宋_GB2312"/>
          <w:sz w:val="32"/>
        </w:rPr>
        <w:t>20%</w:t>
      </w:r>
      <w:r>
        <w:rPr>
          <w:rStyle w:val="C3"/>
          <w:rFonts w:ascii="Microsoft YaHei UI" w:hAnsi="Microsoft YaHei UI"/>
          <w:sz w:val="32"/>
        </w:rPr>
        <w:t>以上，每年用于研究开发新技术、新产品的经费不低于销售额的</w:t>
      </w:r>
      <w:r>
        <w:rPr>
          <w:rStyle w:val="C3"/>
          <w:rFonts w:ascii="仿宋_GB2312" w:hAnsi="仿宋_GB2312"/>
          <w:sz w:val="32"/>
        </w:rPr>
        <w:t>3%</w:t>
      </w:r>
      <w:r>
        <w:rPr>
          <w:rStyle w:val="C3"/>
          <w:rFonts w:ascii="Microsoft YaHei UI" w:hAnsi="Microsoft YaHei UI"/>
          <w:sz w:val="32"/>
        </w:rPr>
        <w:t>（开业不足一年的新办科技企业不受此项限制）。</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市（州）以上人民政府科技行政部门自收到申请材料之日起，应当在十五个工作日内办理完结。对于符合条件的，予以确认；对于不符合条件的，不予确认，并将办理结果和理由书面通知申请企业。</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经确认的科技企业变更经营范围、设立条件、合并、分立、迁移或者停业的，应当及时把变更情况报原办理确认手续的科技行政部门备案或者取消。</w:t>
      </w:r>
    </w:p>
    <w:p>
      <w:pPr>
        <w:pStyle w:val="P1"/>
        <w:spacing w:lineRule="exact" w:line="580"/>
        <w:ind w:firstLine="640"/>
        <w:rPr>
          <w:rStyle w:val="C3"/>
          <w:rFonts w:ascii="仿宋_GB2312" w:hAnsi="仿宋_GB2312"/>
          <w:sz w:val="32"/>
        </w:rPr>
      </w:pPr>
    </w:p>
    <w:p>
      <w:pPr>
        <w:pStyle w:val="P2"/>
      </w:pPr>
      <w:bookmarkStart w:id="2" w:name="_Toc22575"/>
      <w:r>
        <w:rPr>
          <w:rFonts w:ascii="Microsoft YaHei UI" w:hAnsi="Microsoft YaHei UI"/>
        </w:rPr>
        <w:t>第三章　鼓励与扶持</w:t>
      </w:r>
      <w:bookmarkEnd w:id="2"/>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鼓励技术开发型科研机构和有条件的企业向科技企业发展。</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鼓励各类组织和个人利用专利、专有技术等科技成果领办、创办科技企业，享受国家和省有关的扶持政策。</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鼓励科技企业申请各类科技计划项目，高新技术成果商品化和产业化项目，政府各部门应当优先给予支持。</w:t>
      </w:r>
    </w:p>
    <w:p>
      <w:pPr>
        <w:pStyle w:val="P1"/>
        <w:spacing w:lineRule="exac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鼓励科技企业实施知识产权战略，对在省内首次生产的发明专利产品，由企业所在地人民政府有关部门择优给予资金扶持。</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财政部门和金融机构应当积极支持科技企业的发展，优先给予贴息贷款和信贷支持。</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科技企业享受下列优惠政策：</w:t>
      </w:r>
    </w:p>
    <w:p>
      <w:pPr>
        <w:pStyle w:val="P1"/>
        <w:spacing w:lineRule="exact" w:line="580"/>
        <w:ind w:firstLine="640"/>
        <w:rPr>
          <w:rStyle w:val="C3"/>
          <w:rFonts w:ascii="仿宋_GB2312" w:hAnsi="仿宋_GB2312"/>
          <w:sz w:val="32"/>
        </w:rPr>
      </w:pPr>
      <w:r>
        <w:rPr>
          <w:rStyle w:val="C3"/>
          <w:rFonts w:ascii="Microsoft YaHei UI" w:hAnsi="Microsoft YaHei UI"/>
          <w:sz w:val="32"/>
        </w:rPr>
        <w:t>（一）科技企业自确认之日起，对从事技术开发、技术转让和与之相关的技术咨询、技术服务的收入所得，免征营业税；</w:t>
      </w:r>
    </w:p>
    <w:p>
      <w:pPr>
        <w:pStyle w:val="P1"/>
        <w:spacing w:lineRule="exact" w:line="580"/>
        <w:ind w:firstLine="640"/>
        <w:rPr>
          <w:rStyle w:val="C3"/>
          <w:rFonts w:ascii="仿宋_GB2312" w:hAnsi="仿宋_GB2312"/>
          <w:sz w:val="32"/>
        </w:rPr>
      </w:pPr>
      <w:r>
        <w:rPr>
          <w:rStyle w:val="C3"/>
          <w:rFonts w:ascii="Microsoft YaHei UI" w:hAnsi="Microsoft YaHei UI"/>
          <w:sz w:val="32"/>
        </w:rPr>
        <w:t>（二）新创办的独立核算的主要从事技术咨询和技术服务的科技企业，自确认之日起，两年内免征企业所得税；</w:t>
      </w:r>
    </w:p>
    <w:p>
      <w:pPr>
        <w:pStyle w:val="P1"/>
        <w:spacing w:lineRule="exact" w:line="580"/>
        <w:ind w:firstLine="640"/>
        <w:rPr>
          <w:rStyle w:val="C3"/>
          <w:rFonts w:ascii="仿宋_GB2312" w:hAnsi="仿宋_GB2312"/>
          <w:sz w:val="32"/>
        </w:rPr>
      </w:pPr>
      <w:r>
        <w:rPr>
          <w:rStyle w:val="C3"/>
          <w:rFonts w:ascii="Microsoft YaHei UI" w:hAnsi="Microsoft YaHei UI"/>
          <w:sz w:val="32"/>
        </w:rPr>
        <w:t>（三）科技企业用于研究开发新产品、新技术、新工艺所发生的各项费用，全部计入管理费用。对赢利的工业类科技企业当年发生的技术开发费比上年实际发生额增长幅度在</w:t>
      </w:r>
      <w:r>
        <w:rPr>
          <w:rStyle w:val="C3"/>
          <w:rFonts w:ascii="仿宋_GB2312" w:hAnsi="仿宋_GB2312"/>
          <w:sz w:val="32"/>
        </w:rPr>
        <w:t>10%</w:t>
      </w:r>
      <w:r>
        <w:rPr>
          <w:rStyle w:val="C3"/>
          <w:rFonts w:ascii="Microsoft YaHei UI" w:hAnsi="Microsoft YaHei UI"/>
          <w:sz w:val="32"/>
        </w:rPr>
        <w:t>以上的，可再按其实际发生额的</w:t>
      </w:r>
      <w:r>
        <w:rPr>
          <w:rStyle w:val="C3"/>
          <w:rFonts w:ascii="仿宋_GB2312" w:hAnsi="仿宋_GB2312"/>
          <w:sz w:val="32"/>
        </w:rPr>
        <w:t>50%</w:t>
      </w:r>
      <w:r>
        <w:rPr>
          <w:rStyle w:val="C3"/>
          <w:rFonts w:ascii="Microsoft YaHei UI" w:hAnsi="Microsoft YaHei UI"/>
          <w:sz w:val="32"/>
        </w:rPr>
        <w:t>抵扣当年度应纳税所得额；</w:t>
      </w:r>
    </w:p>
    <w:p>
      <w:pPr>
        <w:pStyle w:val="P1"/>
        <w:spacing w:lineRule="exact" w:line="580"/>
        <w:ind w:firstLine="640"/>
        <w:rPr>
          <w:rStyle w:val="C3"/>
          <w:rFonts w:ascii="仿宋_GB2312" w:hAnsi="仿宋_GB2312"/>
          <w:sz w:val="32"/>
        </w:rPr>
      </w:pPr>
      <w:r>
        <w:rPr>
          <w:rStyle w:val="C3"/>
          <w:rFonts w:ascii="Microsoft YaHei UI" w:hAnsi="Microsoft YaHei UI"/>
          <w:sz w:val="32"/>
        </w:rPr>
        <w:t>（四）科技企业培训在职员工发生的费用可以计入管理费用；</w:t>
      </w:r>
    </w:p>
    <w:p>
      <w:pPr>
        <w:pStyle w:val="P1"/>
        <w:spacing w:lineRule="exact" w:line="580"/>
        <w:ind w:firstLine="640"/>
        <w:rPr>
          <w:rStyle w:val="C3"/>
          <w:rFonts w:ascii="仿宋_GB2312" w:hAnsi="仿宋_GB2312"/>
          <w:sz w:val="32"/>
        </w:rPr>
      </w:pPr>
      <w:r>
        <w:rPr>
          <w:rStyle w:val="C3"/>
          <w:rFonts w:ascii="Microsoft YaHei UI" w:hAnsi="Microsoft YaHei UI"/>
          <w:sz w:val="32"/>
        </w:rPr>
        <w:t>（五）科技企业与高等院校、科研单位联合兴办中试基地、工业性试验基地、工程技术中心、开放实验室等科研、开发机构，享受国家和省相关的优惠政策；</w:t>
      </w:r>
    </w:p>
    <w:p>
      <w:pPr>
        <w:pStyle w:val="P1"/>
        <w:spacing w:lineRule="exact" w:line="580"/>
        <w:ind w:firstLine="640"/>
        <w:rPr>
          <w:rStyle w:val="C3"/>
          <w:rFonts w:ascii="仿宋_GB2312" w:hAnsi="仿宋_GB2312"/>
          <w:sz w:val="32"/>
        </w:rPr>
      </w:pPr>
      <w:r>
        <w:rPr>
          <w:rStyle w:val="C3"/>
          <w:rFonts w:ascii="Microsoft YaHei UI" w:hAnsi="Microsoft YaHei UI"/>
          <w:sz w:val="32"/>
        </w:rPr>
        <w:t>（六）科技企业被认定为高新技术企业的，按政策规定享受国家有关高新技术企业的优惠待遇。</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各级人民政府对做出突出贡献的科技企业和有关人员应当给予表彰和奖励。</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各级人民政府可以根据本地实际情况，制定扶持科技企业发展的相关政策。</w:t>
      </w:r>
    </w:p>
    <w:p>
      <w:pPr>
        <w:pStyle w:val="P1"/>
        <w:spacing w:lineRule="exact" w:line="580"/>
        <w:ind w:firstLine="640"/>
        <w:rPr>
          <w:rStyle w:val="C3"/>
          <w:rFonts w:ascii="仿宋_GB2312" w:hAnsi="仿宋_GB2312"/>
          <w:sz w:val="32"/>
        </w:rPr>
      </w:pPr>
    </w:p>
    <w:p>
      <w:pPr>
        <w:pStyle w:val="P2"/>
      </w:pPr>
      <w:bookmarkStart w:id="3" w:name="_Toc11260"/>
      <w:r>
        <w:rPr>
          <w:rFonts w:ascii="Microsoft YaHei UI" w:hAnsi="Microsoft YaHei UI"/>
        </w:rPr>
        <w:t>第四章　保护与服务</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任何单位和个人不得从事下列侵犯科技企业权益的活动：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（一）剽窃、篡改、假冒或者以其他方式侵犯科技企业知识产权和其他科技成果所有权；</w:t>
      </w:r>
    </w:p>
    <w:p>
      <w:pPr>
        <w:pStyle w:val="P1"/>
        <w:spacing w:lineRule="exact" w:line="580"/>
        <w:ind w:firstLine="640"/>
        <w:rPr>
          <w:rStyle w:val="C3"/>
          <w:rFonts w:ascii="仿宋_GB2312" w:hAnsi="仿宋_GB2312"/>
          <w:sz w:val="32"/>
        </w:rPr>
      </w:pPr>
      <w:r>
        <w:rPr>
          <w:rStyle w:val="C3"/>
          <w:rFonts w:ascii="Microsoft YaHei UI" w:hAnsi="Microsoft YaHei UI"/>
          <w:sz w:val="32"/>
        </w:rPr>
        <w:t>（二）侵犯科技企业的技术经济权益或者泄露商业秘密；</w:t>
      </w:r>
    </w:p>
    <w:p>
      <w:pPr>
        <w:pStyle w:val="P1"/>
        <w:spacing w:lineRule="exact" w:line="580"/>
        <w:ind w:firstLine="640"/>
        <w:rPr>
          <w:rStyle w:val="C3"/>
          <w:rFonts w:ascii="仿宋_GB2312" w:hAnsi="仿宋_GB2312"/>
          <w:sz w:val="32"/>
        </w:rPr>
      </w:pPr>
      <w:r>
        <w:rPr>
          <w:rStyle w:val="C3"/>
          <w:rFonts w:ascii="Microsoft YaHei UI" w:hAnsi="Microsoft YaHei UI"/>
          <w:sz w:val="32"/>
        </w:rPr>
        <w:t>（三）侵占、挪用科技企业的财产及各类专项资金；</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（四）违反法律、法规的规定，要求科技企业提供人力、物力、财力；</w:t>
      </w:r>
    </w:p>
    <w:p>
      <w:pPr>
        <w:pStyle w:val="P1"/>
        <w:spacing w:lineRule="exact" w:line="580"/>
        <w:ind w:firstLine="640"/>
        <w:rPr>
          <w:rStyle w:val="C3"/>
          <w:rFonts w:ascii="仿宋_GB2312" w:hAnsi="仿宋_GB2312"/>
          <w:sz w:val="32"/>
        </w:rPr>
      </w:pPr>
      <w:r>
        <w:rPr>
          <w:rStyle w:val="C3"/>
          <w:rFonts w:ascii="Microsoft YaHei UI" w:hAnsi="Microsoft YaHei UI"/>
          <w:sz w:val="32"/>
        </w:rPr>
        <w:t>（五）侵犯科技企业其他合法权益。</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各级人民政府有关行政部门在为科技企业办理相关手续时，应当减少环节、简化手续、提高效率，提供方便。</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行政部门及其工作人员违反有关规定，对科技企业歧视刁难、办事故意拖延的，科技企业可以向政府有关部门投诉。</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各级人民政府及其科技行政部门应当在科技信息、科技文献资料、科技成果的推广利用、科技市场等方面为科技企业提供服务。</w:t>
      </w:r>
    </w:p>
    <w:p>
      <w:pPr>
        <w:pStyle w:val="P2"/>
      </w:pPr>
      <w:bookmarkStart w:id="4" w:name="_Toc20856"/>
      <w:r>
        <w:rPr>
          <w:rFonts w:ascii="Microsoft YaHei UI" w:hAnsi="Microsoft YaHei UI"/>
        </w:rPr>
        <w:t>第五章　法律责任</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通过弄虚作假被确认为科技企业的，由原确认机关取消确认，有关部门追回其享受优惠政策所获得的利益；给他人造成损失的，应当依法赔偿。</w:t>
      </w:r>
    </w:p>
    <w:p>
      <w:pPr>
        <w:pStyle w:val="P1"/>
        <w:spacing w:lineRule="exac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国家机关工作人员违反本条例滥用职权、玩忽职守、徇私舞弊，损害科技企业合法权益的，由其所在单位或者上级主管部门给予行政处分；构成犯罪的，依法追究刑事责任。</w:t>
      </w:r>
    </w:p>
    <w:p>
      <w:pPr>
        <w:pStyle w:val="P1"/>
        <w:spacing w:lineRule="exact" w:line="580"/>
        <w:ind w:firstLine="640"/>
        <w:rPr>
          <w:rStyle w:val="C3"/>
          <w:rFonts w:ascii="仿宋_GB2312" w:hAnsi="仿宋_GB2312"/>
          <w:sz w:val="32"/>
        </w:rPr>
      </w:pPr>
    </w:p>
    <w:p>
      <w:pPr>
        <w:pStyle w:val="P2"/>
      </w:pPr>
      <w:bookmarkStart w:id="5" w:name="_Toc6289"/>
      <w:r>
        <w:rPr>
          <w:rFonts w:ascii="Microsoft YaHei UI" w:hAnsi="Microsoft YaHei UI"/>
        </w:rPr>
        <w:t>第六章　附则</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其他企业从事技术创新活动，参照本条例执行。</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5059680</wp:posOffset>
              </wp:positionH>
              <wp:positionV relativeFrom="paragraph">
                <wp:posOffset>93980</wp:posOffset>
              </wp:positionV>
              <wp:extent cx="1828800" cy="203835"/>
              <wp:wrapNone/>
              <wp:docPr id="1" name="Text Box 1"/>
              <a:graphic xmlns:a="http://schemas.openxmlformats.org/drawingml/2006/main">
                <a:graphicData uri="http://schemas.microsoft.com/office/word/2010/wordprocessingShape">
                  <wps:wsp>
                    <wps:cNvSpPr/>
                    <wps:spPr>
                      <a:xfrm>
                        <a:off x="0" y="0"/>
                        <a:ext cx="1828800" cy="203835"/>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16.05pt;z-index:1;mso-wrap-distance-left:9pt;mso-wrap-distance-top:0pt;mso-wrap-distance-right:9pt;mso-wrap-distance-bottom:0pt;margin-left:398.4pt;margin-top:7.4pt;mso-position-horizontal:absolute;mso-position-horizontal-relative:margin;mso-position-vertical:absolute;mso-position-vertical-relative:text" stroked="f" o:allowincell="t">
              <v:textbox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ind w:firstLine="64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2016-10-25T05:31:00Z</dcterms:created>
  <cp:lastModifiedBy>f1TZOF\f1TZOF-</cp:lastModifiedBy>
  <dcterms:modified xsi:type="dcterms:W3CDTF">2024-08-28T01:36:17Z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