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C50633A" Type="http://schemas.openxmlformats.org/officeDocument/2006/relationships/officeDocument" Target="/word/document.xml" /><Relationship Id="coreR3C50633A"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tabs>
          <w:tab w:val="right" w:pos="8674" w:leader="none"/>
        </w:tabs>
        <w:spacing w:lineRule="exact" w:line="576"/>
        <w:jc w:val="center"/>
        <w:rPr>
          <w:rStyle w:val="C3"/>
          <w:rFonts w:ascii="Times New Roman" w:hAnsi="Times New Roman"/>
          <w:sz w:val="44"/>
        </w:rPr>
      </w:pPr>
    </w:p>
    <w:p>
      <w:pPr>
        <w:pStyle w:val="P1"/>
        <w:tabs>
          <w:tab w:val="right" w:pos="8674" w:leader="none"/>
        </w:tabs>
        <w:spacing w:lineRule="exact" w:line="576"/>
        <w:jc w:val="center"/>
        <w:rPr>
          <w:rStyle w:val="C3"/>
          <w:rFonts w:ascii="Times New Roman" w:hAnsi="Times New Roman"/>
          <w:sz w:val="44"/>
        </w:rPr>
      </w:pPr>
    </w:p>
    <w:p>
      <w:pPr>
        <w:pStyle w:val="P1"/>
        <w:tabs>
          <w:tab w:val="right" w:pos="8674" w:leader="none"/>
        </w:tabs>
        <w:spacing w:lineRule="exact" w:line="576"/>
        <w:jc w:val="center"/>
        <w:rPr>
          <w:rStyle w:val="C3"/>
          <w:rFonts w:ascii="Times New Roman" w:hAnsi="Times New Roman"/>
          <w:sz w:val="44"/>
        </w:rPr>
      </w:pPr>
      <w:r>
        <w:rPr>
          <w:rStyle w:val="C3"/>
          <w:rFonts w:ascii="方正姚体" w:hAnsi="方正姚体"/>
          <w:sz w:val="44"/>
        </w:rPr>
        <w:t>达州市市容和环境卫生管理条例</w:t>
      </w:r>
    </w:p>
    <w:p>
      <w:pPr>
        <w:pStyle w:val="P1"/>
        <w:spacing w:lineRule="exact" w:line="576"/>
        <w:ind w:left="600" w:right="600"/>
        <w:jc w:val="left"/>
        <w:rPr>
          <w:rStyle w:val="C3"/>
          <w:rFonts w:ascii="楷体_GB2312" w:hAnsi="楷体_GB2312"/>
          <w:sz w:val="32"/>
        </w:rPr>
      </w:pPr>
    </w:p>
    <w:p>
      <w:pPr>
        <w:pStyle w:val="P1"/>
        <w:spacing w:lineRule="exact" w:line="576"/>
        <w:ind w:left="600" w:right="600"/>
        <w:jc w:val="left"/>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20</w:t>
      </w:r>
      <w:r>
        <w:rPr>
          <w:rStyle w:val="C3"/>
          <w:rFonts w:ascii="Microsoft YaHei UI" w:hAnsi="Microsoft YaHei UI"/>
          <w:sz w:val="32"/>
        </w:rPr>
        <w:t>日达州市第四届人民代表大会常务委员会第二十二次会议通过</w:t>
      </w:r>
      <w:r>
        <w:rPr>
          <w:rStyle w:val="C3"/>
          <w:rFonts w:ascii="楷体_GB2312" w:hAnsi="楷体_GB2312"/>
          <w:sz w:val="32"/>
        </w:rPr>
        <w:t xml:space="preserve">  2019</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日四川省第十三届</w:t>
      </w:r>
      <w:r>
        <w:rPr>
          <w:rStyle w:val="C3"/>
          <w:rFonts w:ascii="楷体_GB2312" w:hAnsi="楷体_GB2312"/>
          <w:sz w:val="32"/>
        </w:rPr>
        <w:t xml:space="preserve">  </w:t>
      </w:r>
      <w:r>
        <w:rPr>
          <w:rStyle w:val="C3"/>
          <w:rFonts w:ascii="Microsoft YaHei UI" w:hAnsi="Microsoft YaHei UI"/>
          <w:sz w:val="32"/>
        </w:rPr>
        <w:t>人民代表大会常务委员会第十二次会议批准）</w:t>
      </w:r>
    </w:p>
    <w:p>
      <w:pPr>
        <w:pStyle w:val="P1"/>
        <w:spacing w:lineRule="exact" w:line="576"/>
        <w:jc w:val="center"/>
        <w:rPr>
          <w:rStyle w:val="C3"/>
          <w:rFonts w:ascii="宋体" w:hAnsi="宋体"/>
          <w:sz w:val="32"/>
        </w:rPr>
      </w:pPr>
    </w:p>
    <w:p>
      <w:pPr>
        <w:pStyle w:val="P1"/>
        <w:spacing w:lineRule="exact" w:line="576"/>
        <w:ind w:firstLine="620"/>
        <w:jc w:val="center"/>
        <w:rPr>
          <w:rStyle w:val="C3"/>
          <w:rFonts w:ascii="楷体_GB2312" w:hAnsi="楷体_GB2312"/>
          <w:sz w:val="32"/>
        </w:rPr>
      </w:pPr>
      <w:r>
        <w:rPr>
          <w:rStyle w:val="C3"/>
          <w:rFonts w:ascii="Microsoft YaHei UI" w:hAnsi="Microsoft YaHei UI"/>
          <w:sz w:val="32"/>
        </w:rPr>
        <w:t>目　　录</w:t>
      </w:r>
    </w:p>
    <w:p>
      <w:pPr>
        <w:pStyle w:val="P1"/>
        <w:spacing w:lineRule="exact" w:line="576"/>
        <w:ind w:firstLine="620"/>
        <w:rPr>
          <w:rStyle w:val="C3"/>
          <w:rFonts w:ascii="楷体_GB2312" w:hAnsi="楷体_GB2312"/>
          <w:sz w:val="32"/>
        </w:rPr>
      </w:pPr>
    </w:p>
    <w:p>
      <w:pPr>
        <w:pStyle w:val="P1"/>
        <w:spacing w:lineRule="exact" w:line="576"/>
        <w:ind w:firstLine="620"/>
        <w:rPr>
          <w:rStyle w:val="C3"/>
          <w:rFonts w:ascii="楷体_GB2312" w:hAnsi="楷体_GB2312"/>
          <w:sz w:val="32"/>
        </w:rPr>
      </w:pPr>
      <w:r>
        <w:rPr>
          <w:rStyle w:val="C3"/>
          <w:rFonts w:ascii="Microsoft YaHei UI" w:hAnsi="Microsoft YaHei UI"/>
          <w:sz w:val="32"/>
        </w:rPr>
        <w:t>第一章　总</w:t>
      </w:r>
      <w:r>
        <w:rPr>
          <w:rStyle w:val="C3"/>
          <w:rFonts w:ascii="楷体_GB2312" w:hAnsi="楷体_GB2312"/>
          <w:sz w:val="32"/>
        </w:rPr>
        <w:t xml:space="preserve">  </w:t>
      </w:r>
      <w:r>
        <w:rPr>
          <w:rStyle w:val="C3"/>
          <w:rFonts w:ascii="Microsoft YaHei UI" w:hAnsi="Microsoft YaHei UI"/>
          <w:sz w:val="32"/>
        </w:rPr>
        <w:t>则</w:t>
      </w:r>
    </w:p>
    <w:p>
      <w:pPr>
        <w:pStyle w:val="P1"/>
        <w:spacing w:lineRule="exact" w:line="576"/>
        <w:ind w:firstLine="620"/>
        <w:rPr>
          <w:rStyle w:val="C3"/>
          <w:rFonts w:ascii="楷体_GB2312" w:hAnsi="楷体_GB2312"/>
          <w:sz w:val="32"/>
        </w:rPr>
      </w:pPr>
      <w:r>
        <w:rPr>
          <w:rStyle w:val="C3"/>
          <w:rFonts w:ascii="Microsoft YaHei UI" w:hAnsi="Microsoft YaHei UI"/>
          <w:sz w:val="32"/>
        </w:rPr>
        <w:t>第二章　市容管理</w:t>
      </w:r>
    </w:p>
    <w:p>
      <w:pPr>
        <w:pStyle w:val="P1"/>
        <w:spacing w:lineRule="exact" w:line="576"/>
        <w:ind w:firstLine="1240"/>
        <w:rPr>
          <w:rStyle w:val="C3"/>
          <w:rFonts w:ascii="楷体_GB2312" w:hAnsi="楷体_GB2312"/>
          <w:sz w:val="32"/>
        </w:rPr>
      </w:pPr>
      <w:r>
        <w:rPr>
          <w:rStyle w:val="C3"/>
          <w:rFonts w:ascii="Microsoft YaHei UI" w:hAnsi="Microsoft YaHei UI"/>
          <w:sz w:val="32"/>
        </w:rPr>
        <w:t>第一节　建（构）筑物容貌管理</w:t>
      </w:r>
    </w:p>
    <w:p>
      <w:pPr>
        <w:pStyle w:val="P1"/>
        <w:spacing w:lineRule="exact" w:line="576"/>
        <w:ind w:firstLine="1240"/>
        <w:rPr>
          <w:rStyle w:val="C3"/>
          <w:rFonts w:ascii="楷体_GB2312" w:hAnsi="楷体_GB2312"/>
          <w:sz w:val="32"/>
        </w:rPr>
      </w:pPr>
      <w:r>
        <w:rPr>
          <w:rStyle w:val="C3"/>
          <w:rFonts w:ascii="Microsoft YaHei UI" w:hAnsi="Microsoft YaHei UI"/>
          <w:sz w:val="32"/>
        </w:rPr>
        <w:t>第二节　城市道路和公共场地容貌管理</w:t>
      </w:r>
    </w:p>
    <w:p>
      <w:pPr>
        <w:pStyle w:val="P1"/>
        <w:spacing w:lineRule="exact" w:line="576"/>
        <w:ind w:firstLine="1240"/>
        <w:rPr>
          <w:rStyle w:val="C3"/>
          <w:rFonts w:ascii="楷体_GB2312" w:hAnsi="楷体_GB2312"/>
          <w:sz w:val="32"/>
        </w:rPr>
      </w:pPr>
      <w:r>
        <w:rPr>
          <w:rStyle w:val="C3"/>
          <w:rFonts w:ascii="Microsoft YaHei UI" w:hAnsi="Microsoft YaHei UI"/>
          <w:sz w:val="32"/>
        </w:rPr>
        <w:t>第三节　户外广告和招牌设置管理</w:t>
      </w:r>
    </w:p>
    <w:p>
      <w:pPr>
        <w:pStyle w:val="P1"/>
        <w:spacing w:lineRule="exact" w:line="576"/>
        <w:ind w:firstLine="1240"/>
        <w:rPr>
          <w:rStyle w:val="C3"/>
          <w:rFonts w:ascii="楷体_GB2312" w:hAnsi="楷体_GB2312"/>
          <w:sz w:val="32"/>
        </w:rPr>
      </w:pPr>
      <w:r>
        <w:rPr>
          <w:rStyle w:val="C3"/>
          <w:rFonts w:ascii="Microsoft YaHei UI" w:hAnsi="Microsoft YaHei UI"/>
          <w:sz w:val="32"/>
        </w:rPr>
        <w:t>第四节　照明管理</w:t>
      </w:r>
    </w:p>
    <w:p>
      <w:pPr>
        <w:pStyle w:val="P1"/>
        <w:spacing w:lineRule="exact" w:line="576"/>
        <w:ind w:firstLine="620"/>
        <w:rPr>
          <w:rStyle w:val="C3"/>
          <w:rFonts w:ascii="楷体_GB2312" w:hAnsi="楷体_GB2312"/>
          <w:sz w:val="32"/>
        </w:rPr>
      </w:pPr>
      <w:r>
        <w:rPr>
          <w:rStyle w:val="C3"/>
          <w:rFonts w:ascii="Microsoft YaHei UI" w:hAnsi="Microsoft YaHei UI"/>
          <w:sz w:val="32"/>
        </w:rPr>
        <w:t>第三章　环境卫生管理</w:t>
      </w:r>
    </w:p>
    <w:p>
      <w:pPr>
        <w:pStyle w:val="P1"/>
        <w:spacing w:lineRule="exact" w:line="576"/>
        <w:ind w:firstLine="1240"/>
        <w:rPr>
          <w:rStyle w:val="C3"/>
          <w:rFonts w:ascii="楷体_GB2312" w:hAnsi="楷体_GB2312"/>
          <w:sz w:val="32"/>
        </w:rPr>
      </w:pPr>
      <w:r>
        <w:rPr>
          <w:rStyle w:val="C3"/>
          <w:rFonts w:ascii="Microsoft YaHei UI" w:hAnsi="Microsoft YaHei UI"/>
          <w:sz w:val="32"/>
        </w:rPr>
        <w:t>第一节　环境卫生设施建设和作业服务管理</w:t>
      </w:r>
    </w:p>
    <w:p>
      <w:pPr>
        <w:pStyle w:val="P1"/>
        <w:spacing w:lineRule="exact" w:line="576"/>
        <w:ind w:firstLine="1240"/>
        <w:rPr>
          <w:rStyle w:val="C3"/>
          <w:rFonts w:ascii="楷体_GB2312" w:hAnsi="楷体_GB2312"/>
          <w:sz w:val="32"/>
        </w:rPr>
      </w:pPr>
      <w:r>
        <w:rPr>
          <w:rStyle w:val="C3"/>
          <w:rFonts w:ascii="Microsoft YaHei UI" w:hAnsi="Microsoft YaHei UI"/>
          <w:sz w:val="32"/>
        </w:rPr>
        <w:t>第二节　公共场所环境卫生管理</w:t>
      </w:r>
    </w:p>
    <w:p>
      <w:pPr>
        <w:pStyle w:val="P1"/>
        <w:spacing w:lineRule="exact" w:line="576"/>
        <w:ind w:firstLine="1240"/>
        <w:rPr>
          <w:rStyle w:val="C3"/>
          <w:rFonts w:ascii="楷体_GB2312" w:hAnsi="楷体_GB2312"/>
          <w:sz w:val="32"/>
        </w:rPr>
      </w:pPr>
      <w:r>
        <w:rPr>
          <w:rStyle w:val="C3"/>
          <w:rFonts w:ascii="Microsoft YaHei UI" w:hAnsi="Microsoft YaHei UI"/>
          <w:sz w:val="32"/>
        </w:rPr>
        <w:t>第三节　垃圾管理</w:t>
      </w:r>
    </w:p>
    <w:p>
      <w:pPr>
        <w:pStyle w:val="P1"/>
        <w:spacing w:lineRule="exact" w:line="576"/>
        <w:ind w:firstLine="620"/>
        <w:rPr>
          <w:rStyle w:val="C3"/>
          <w:rFonts w:ascii="楷体_GB2312" w:hAnsi="楷体_GB2312"/>
          <w:sz w:val="32"/>
        </w:rPr>
      </w:pPr>
      <w:r>
        <w:rPr>
          <w:rStyle w:val="C3"/>
          <w:rFonts w:ascii="Microsoft YaHei UI" w:hAnsi="Microsoft YaHei UI"/>
          <w:sz w:val="32"/>
        </w:rPr>
        <w:t>第四章　法律责任</w:t>
      </w:r>
    </w:p>
    <w:p>
      <w:pPr>
        <w:pStyle w:val="P1"/>
        <w:spacing w:lineRule="exact" w:line="576"/>
        <w:ind w:firstLine="620"/>
        <w:rPr>
          <w:rStyle w:val="C3"/>
          <w:rFonts w:ascii="楷体_GB2312" w:hAnsi="楷体_GB2312"/>
          <w:sz w:val="32"/>
        </w:rPr>
      </w:pPr>
      <w:r>
        <w:rPr>
          <w:rStyle w:val="C3"/>
          <w:rFonts w:ascii="Microsoft YaHei UI" w:hAnsi="Microsoft YaHei UI"/>
          <w:sz w:val="32"/>
        </w:rPr>
        <w:t>第五章　附　则</w:t>
      </w:r>
    </w:p>
    <w:p>
      <w:pPr>
        <w:pStyle w:val="P1"/>
        <w:spacing w:lineRule="exact" w:line="576"/>
        <w:rPr>
          <w:rStyle w:val="C3"/>
          <w:rFonts w:ascii="楷体_GB2312" w:hAnsi="楷体_GB2312"/>
          <w:color w:val="000000"/>
          <w:sz w:val="32"/>
        </w:rPr>
      </w:pPr>
    </w:p>
    <w:p>
      <w:pPr>
        <w:pStyle w:val="P1"/>
        <w:spacing w:lineRule="exact" w:line="576"/>
        <w:ind w:firstLine="620"/>
        <w:jc w:val="center"/>
        <w:rPr>
          <w:rStyle w:val="C3"/>
          <w:rFonts w:ascii="黑体" w:hAnsi="黑体"/>
          <w:sz w:val="32"/>
        </w:rPr>
      </w:pPr>
      <w:r>
        <w:rPr>
          <w:rStyle w:val="C3"/>
          <w:rFonts w:ascii="黑体" w:hAnsi="黑体"/>
          <w:sz w:val="32"/>
        </w:rPr>
        <w:t xml:space="preserve">第一章  总  则</w:t>
      </w:r>
    </w:p>
    <w:p>
      <w:pPr>
        <w:pStyle w:val="P1"/>
        <w:spacing w:lineRule="exact" w:line="576"/>
        <w:ind w:firstLine="620"/>
        <w:jc w:val="center"/>
        <w:rPr>
          <w:rStyle w:val="C3"/>
          <w:rFonts w:ascii="黑体" w:hAnsi="黑体"/>
          <w:sz w:val="32"/>
        </w:rPr>
      </w:pPr>
    </w:p>
    <w:p>
      <w:pPr>
        <w:pStyle w:val="P1"/>
        <w:spacing w:lineRule="exact" w:line="576"/>
        <w:ind w:firstLine="62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为了加强市容和环境卫生管理，创造整洁、优美、文明、宜居环境，建设幸福美丽达州，根据有关法律、法规，结合达州市实际，制定本条例。</w:t>
      </w:r>
    </w:p>
    <w:p>
      <w:pPr>
        <w:pStyle w:val="P1"/>
        <w:spacing w:lineRule="exact" w:line="576"/>
        <w:ind w:firstLine="62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达州市行政区域内城市、镇（乡）建成区以及市、县级人民政府划定并公布的实行城市化管理的区域适用本条例。</w:t>
      </w:r>
    </w:p>
    <w:p>
      <w:pPr>
        <w:pStyle w:val="P1"/>
        <w:spacing w:lineRule="exact" w:line="576"/>
        <w:ind w:firstLine="62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市容和环境卫生管理工作实行统一领导、分级负责、属地管理、公众参与、社会监督的原则。</w:t>
      </w:r>
    </w:p>
    <w:p>
      <w:pPr>
        <w:pStyle w:val="P1"/>
        <w:spacing w:lineRule="exact" w:line="576"/>
        <w:ind w:firstLine="62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市、县级人民政府应当加强对市容和环境卫生管理工作的组织领导，将市容和环境卫生事业列入国民经济和社会发展规划，所需经费列入同级预算。</w:t>
      </w:r>
    </w:p>
    <w:p>
      <w:pPr>
        <w:pStyle w:val="P1"/>
        <w:spacing w:lineRule="exact" w:line="576"/>
        <w:ind w:firstLine="62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市、县级人民政府市容环境卫生主管部门负责本行政区域的市容和环境卫生管理工作。</w:t>
      </w:r>
    </w:p>
    <w:p>
      <w:pPr>
        <w:pStyle w:val="P1"/>
        <w:spacing w:lineRule="exact" w:line="576"/>
        <w:ind w:firstLine="620"/>
        <w:rPr>
          <w:rStyle w:val="C3"/>
          <w:rFonts w:ascii="仿宋_GB2312" w:hAnsi="仿宋_GB2312"/>
          <w:sz w:val="32"/>
        </w:rPr>
      </w:pPr>
      <w:r>
        <w:rPr>
          <w:rStyle w:val="C3"/>
          <w:rFonts w:ascii="Microsoft YaHei UI" w:hAnsi="Microsoft YaHei UI"/>
          <w:sz w:val="32"/>
        </w:rPr>
        <w:t>市、县级人民政府发展和改革、经济和信息化、公安、民政、财政、自然资源和规划、生态环境、住房和城乡建设、交通运输、水务、农业农村、商务、文化体育和旅游、卫生健康、国有资产监督管理、市场监督管理、林业等主管部门，应当按照各自职责做好市容和环境卫生管理相关工作。</w:t>
      </w:r>
    </w:p>
    <w:p>
      <w:pPr>
        <w:pStyle w:val="P1"/>
        <w:spacing w:lineRule="exact" w:line="576"/>
        <w:ind w:firstLine="620"/>
        <w:rPr>
          <w:rStyle w:val="C3"/>
          <w:rFonts w:ascii="仿宋_GB2312" w:hAnsi="仿宋_GB2312"/>
          <w:sz w:val="32"/>
        </w:rPr>
      </w:pPr>
      <w:r>
        <w:rPr>
          <w:rStyle w:val="C3"/>
          <w:rFonts w:ascii="Microsoft YaHei UI" w:hAnsi="Microsoft YaHei UI"/>
          <w:sz w:val="32"/>
        </w:rPr>
        <w:t>街道办事处、镇（乡）人民政府负责本辖区的市容和环境卫生管理的具体工作。</w:t>
      </w:r>
    </w:p>
    <w:p>
      <w:pPr>
        <w:pStyle w:val="P1"/>
        <w:spacing w:lineRule="exact" w:line="576"/>
        <w:ind w:firstLine="62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市容环境卫生主管部门查处违反本条例规定的行为时，需要相关部门、机构认定、鉴定、检验、检测或者提供与案件有关的材料、信息的，相关部门、机构应当予以协助。</w:t>
      </w:r>
    </w:p>
    <w:p>
      <w:pPr>
        <w:pStyle w:val="P1"/>
        <w:spacing w:lineRule="exact" w:line="576"/>
        <w:ind w:firstLine="62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经市、县级人民政府批准，市容环境卫生主管部门可以根据工作需要，配置市容和环境卫生管理协管员，从事宣传教育、巡查、信息收集、违法行为劝阻等辅助性工作。</w:t>
      </w:r>
    </w:p>
    <w:p>
      <w:pPr>
        <w:pStyle w:val="P1"/>
        <w:spacing w:lineRule="exact" w:line="576"/>
        <w:ind w:firstLine="62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市、县级人民政府市容环境卫生主管部门应当会同自然资源和规划、住房和城乡建设等有关部门，组织编制户外广告、垃圾消纳等市容和环境卫生专项规划，报同级人民政府批准并公布实施。</w:t>
      </w:r>
    </w:p>
    <w:p>
      <w:pPr>
        <w:pStyle w:val="P1"/>
        <w:spacing w:lineRule="exact" w:line="576"/>
        <w:ind w:firstLine="62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市、县级人民政府应当推进智慧城市建设，鼓励运用现代科学技术加强垃圾分类、停车秩序、市政设施等市容和环境卫生方面的管理。</w:t>
      </w:r>
    </w:p>
    <w:p>
      <w:pPr>
        <w:pStyle w:val="P1"/>
        <w:spacing w:lineRule="exact" w:line="576"/>
        <w:ind w:firstLine="62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市容和环境卫生管理工作实行责任区制度。</w:t>
      </w:r>
    </w:p>
    <w:p>
      <w:pPr>
        <w:pStyle w:val="P1"/>
        <w:spacing w:lineRule="exact" w:line="576"/>
        <w:ind w:firstLine="620"/>
        <w:rPr>
          <w:rStyle w:val="C3"/>
          <w:rFonts w:ascii="仿宋_GB2312" w:hAnsi="仿宋_GB2312"/>
          <w:sz w:val="32"/>
        </w:rPr>
      </w:pPr>
      <w:r>
        <w:rPr>
          <w:rStyle w:val="C3"/>
          <w:rFonts w:ascii="Microsoft YaHei UI" w:hAnsi="Microsoft YaHei UI"/>
          <w:sz w:val="32"/>
        </w:rPr>
        <w:t>市、县级人民政府应当确定责任区的具体范围、责任人以及责任要求。</w:t>
      </w:r>
    </w:p>
    <w:p>
      <w:pPr>
        <w:pStyle w:val="P1"/>
        <w:spacing w:lineRule="exact" w:line="576"/>
        <w:ind w:firstLine="62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机关、团体、企事业单位、学校、居（村）民委员会应当加强市容和环境卫生法律、法规和相关知识的宣传教育，提高公民的环境文明卫生意识，树立良好的社会道德风尚。</w:t>
      </w:r>
    </w:p>
    <w:p>
      <w:pPr>
        <w:pStyle w:val="P1"/>
        <w:spacing w:lineRule="exact" w:line="576"/>
        <w:ind w:firstLine="620"/>
        <w:rPr>
          <w:rStyle w:val="C3"/>
          <w:rFonts w:ascii="仿宋_GB2312" w:hAnsi="仿宋_GB2312"/>
          <w:sz w:val="32"/>
        </w:rPr>
      </w:pPr>
      <w:r>
        <w:rPr>
          <w:rStyle w:val="C3"/>
          <w:rFonts w:ascii="Microsoft YaHei UI" w:hAnsi="Microsoft YaHei UI"/>
          <w:sz w:val="32"/>
        </w:rPr>
        <w:t>广播、电视、报刊、网络等新闻媒体及公共场所的宣传牌（栏）等，应当加强对市容和环境卫生方面的公益宣传。</w:t>
      </w:r>
    </w:p>
    <w:p>
      <w:pPr>
        <w:pStyle w:val="P1"/>
        <w:spacing w:lineRule="exact" w:line="576"/>
        <w:ind w:firstLine="62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鼓励居（村）民委员会组织居（村）民制定维护本区域市容和环境卫生公约，动员居（村）民参加市容和环境卫生治理工作。</w:t>
      </w:r>
    </w:p>
    <w:p>
      <w:pPr>
        <w:pStyle w:val="P1"/>
        <w:spacing w:lineRule="exact" w:line="576"/>
        <w:ind w:firstLine="62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任何单位和个人都有维护市容和环境卫生的义务，应当尊重市容和环境卫生工作人员的劳动，不得妨碍、阻挠其正常工作，对损害、破坏市容和环境卫生的行为，有权进行劝导、制止或者举报。</w:t>
      </w:r>
    </w:p>
    <w:p>
      <w:pPr>
        <w:pStyle w:val="P1"/>
        <w:spacing w:lineRule="exact" w:line="576"/>
        <w:ind w:firstLine="620"/>
        <w:rPr>
          <w:rStyle w:val="C3"/>
          <w:rFonts w:ascii="仿宋_GB2312" w:hAnsi="仿宋_GB2312"/>
          <w:sz w:val="32"/>
        </w:rPr>
      </w:pPr>
    </w:p>
    <w:p>
      <w:pPr>
        <w:pStyle w:val="P1"/>
        <w:spacing w:lineRule="exact" w:line="576"/>
        <w:ind w:firstLine="620"/>
        <w:jc w:val="center"/>
        <w:rPr>
          <w:rStyle w:val="C3"/>
          <w:rFonts w:ascii="黑体" w:hAnsi="黑体"/>
          <w:sz w:val="32"/>
        </w:rPr>
      </w:pPr>
      <w:r>
        <w:rPr>
          <w:rStyle w:val="C3"/>
          <w:rFonts w:ascii="黑体" w:hAnsi="黑体"/>
          <w:sz w:val="32"/>
        </w:rPr>
        <w:t xml:space="preserve">第二章  市容管理</w:t>
      </w:r>
    </w:p>
    <w:p>
      <w:pPr>
        <w:pStyle w:val="P1"/>
        <w:spacing w:lineRule="exact" w:line="576"/>
        <w:ind w:firstLine="620"/>
        <w:jc w:val="center"/>
        <w:rPr>
          <w:rStyle w:val="C3"/>
          <w:rFonts w:ascii="黑体" w:hAnsi="黑体"/>
          <w:sz w:val="32"/>
        </w:rPr>
      </w:pPr>
    </w:p>
    <w:p>
      <w:pPr>
        <w:pStyle w:val="P1"/>
        <w:spacing w:lineRule="exact" w:line="576"/>
        <w:ind w:left="620"/>
        <w:jc w:val="center"/>
        <w:rPr>
          <w:rStyle w:val="C3"/>
          <w:rFonts w:ascii="仿宋_GB2312" w:hAnsi="仿宋_GB2312"/>
          <w:sz w:val="32"/>
        </w:rPr>
      </w:pPr>
      <w:r>
        <w:rPr>
          <w:rStyle w:val="C3"/>
          <w:rFonts w:ascii="Microsoft YaHei UI" w:hAnsi="Microsoft YaHei UI"/>
          <w:sz w:val="32"/>
        </w:rPr>
        <w:t>第一节</w:t>
      </w:r>
      <w:r>
        <w:rPr>
          <w:rStyle w:val="C3"/>
          <w:rFonts w:ascii="仿宋_GB2312" w:hAnsi="仿宋_GB2312"/>
          <w:sz w:val="32"/>
        </w:rPr>
        <w:t xml:space="preserve">  </w:t>
      </w:r>
      <w:r>
        <w:rPr>
          <w:rStyle w:val="C3"/>
          <w:rFonts w:ascii="Microsoft YaHei UI" w:hAnsi="Microsoft YaHei UI"/>
          <w:sz w:val="32"/>
        </w:rPr>
        <w:t>建（构）筑物容貌管理</w:t>
      </w:r>
    </w:p>
    <w:p>
      <w:pPr>
        <w:pStyle w:val="P1"/>
        <w:spacing w:lineRule="exact" w:line="576"/>
        <w:ind w:left="1775"/>
        <w:rPr>
          <w:rStyle w:val="C3"/>
          <w:rFonts w:ascii="仿宋_GB2312" w:hAnsi="仿宋_GB2312"/>
          <w:sz w:val="32"/>
        </w:rPr>
      </w:pPr>
    </w:p>
    <w:p>
      <w:pPr>
        <w:pStyle w:val="P1"/>
        <w:spacing w:lineRule="exact" w:line="576"/>
        <w:ind w:firstLine="620"/>
        <w:rPr>
          <w:rStyle w:val="C3"/>
          <w:rFonts w:ascii="仿宋_GB2312" w:hAnsi="仿宋_GB2312"/>
          <w:sz w:val="32"/>
        </w:rPr>
      </w:pPr>
      <w:r>
        <w:rPr>
          <w:rStyle w:val="C3"/>
          <w:rFonts w:ascii="黑体" w:hAnsi="黑体"/>
          <w:sz w:val="32"/>
        </w:rPr>
        <w:t>第十四条</w:t>
      </w:r>
      <w:r>
        <w:rPr>
          <w:rStyle w:val="C3"/>
          <w:rFonts w:ascii="Microsoft YaHei UI" w:hAnsi="Microsoft YaHei UI"/>
          <w:sz w:val="32"/>
        </w:rPr>
        <w:t>　临街建（构）筑物和其他设施外立面造型、装饰等应当符合城市容貌标准，保持完好、整洁，与周围环境相协调。</w:t>
      </w:r>
    </w:p>
    <w:p>
      <w:pPr>
        <w:pStyle w:val="P1"/>
        <w:spacing w:lineRule="exact" w:line="576"/>
        <w:ind w:firstLine="620"/>
        <w:rPr>
          <w:rStyle w:val="C3"/>
          <w:rFonts w:ascii="仿宋_GB2312" w:hAnsi="仿宋_GB2312"/>
          <w:sz w:val="32"/>
        </w:rPr>
      </w:pPr>
      <w:r>
        <w:rPr>
          <w:rStyle w:val="C3"/>
          <w:rFonts w:ascii="黑体" w:hAnsi="黑体"/>
          <w:sz w:val="32"/>
        </w:rPr>
        <w:t>第十五条</w:t>
      </w:r>
      <w:r>
        <w:rPr>
          <w:rStyle w:val="C3"/>
          <w:rFonts w:ascii="Microsoft YaHei UI" w:hAnsi="Microsoft YaHei UI"/>
          <w:sz w:val="32"/>
        </w:rPr>
        <w:t>　临街建（构）筑物外立面安装空调外机、排风扇、防盗网、雨棚、遮阳帐篷等各类附属设施，应当规范设置，并保持安全、整洁。</w:t>
      </w:r>
    </w:p>
    <w:p>
      <w:pPr>
        <w:pStyle w:val="P1"/>
        <w:spacing w:lineRule="exact" w:line="576"/>
        <w:ind w:firstLine="620"/>
        <w:rPr>
          <w:rStyle w:val="C3"/>
          <w:rFonts w:ascii="仿宋_GB2312" w:hAnsi="仿宋_GB2312"/>
          <w:sz w:val="32"/>
        </w:rPr>
      </w:pPr>
      <w:r>
        <w:rPr>
          <w:rStyle w:val="C3"/>
          <w:rFonts w:ascii="Microsoft YaHei UI" w:hAnsi="Microsoft YaHei UI"/>
          <w:sz w:val="32"/>
        </w:rPr>
        <w:t>本条例施行前没有规范设置的附属设施，应当逐步改造。</w:t>
      </w:r>
    </w:p>
    <w:p>
      <w:pPr>
        <w:pStyle w:val="P1"/>
        <w:spacing w:lineRule="exact" w:line="576"/>
        <w:ind w:firstLine="620"/>
        <w:rPr>
          <w:rStyle w:val="C3"/>
          <w:rFonts w:ascii="仿宋_GB2312" w:hAnsi="仿宋_GB2312"/>
          <w:sz w:val="32"/>
        </w:rPr>
      </w:pPr>
      <w:r>
        <w:rPr>
          <w:rStyle w:val="C3"/>
          <w:rFonts w:ascii="Microsoft YaHei UI" w:hAnsi="Microsoft YaHei UI"/>
          <w:sz w:val="32"/>
        </w:rPr>
        <w:t>第十六条　禁止擅自在建（构）筑物的顶部搭建雨棚、遮阳蓬帐等建（构）筑物。</w:t>
      </w:r>
    </w:p>
    <w:p>
      <w:pPr>
        <w:pStyle w:val="P1"/>
        <w:spacing w:lineRule="exact" w:line="576"/>
        <w:ind w:firstLine="620"/>
        <w:rPr>
          <w:rStyle w:val="C3"/>
          <w:rFonts w:ascii="仿宋_GB2312" w:hAnsi="仿宋_GB2312"/>
          <w:sz w:val="32"/>
        </w:rPr>
      </w:pPr>
      <w:r>
        <w:rPr>
          <w:rStyle w:val="C3"/>
          <w:rFonts w:ascii="Microsoft YaHei UI" w:hAnsi="Microsoft YaHei UI"/>
          <w:sz w:val="32"/>
        </w:rPr>
        <w:t>禁止擅自在临街建（构）筑物外立面搭接室外楼梯。</w:t>
      </w:r>
    </w:p>
    <w:p>
      <w:pPr>
        <w:pStyle w:val="P1"/>
        <w:spacing w:lineRule="exact" w:line="576"/>
        <w:ind w:firstLine="620"/>
        <w:rPr>
          <w:rStyle w:val="C3"/>
          <w:rFonts w:ascii="仿宋_GB2312" w:hAnsi="仿宋_GB2312"/>
          <w:sz w:val="32"/>
        </w:rPr>
      </w:pPr>
    </w:p>
    <w:p>
      <w:pPr>
        <w:pStyle w:val="P1"/>
        <w:spacing w:lineRule="exact" w:line="576"/>
        <w:ind w:left="620"/>
        <w:jc w:val="center"/>
        <w:rPr>
          <w:rStyle w:val="C3"/>
          <w:rFonts w:ascii="仿宋_GB2312" w:hAnsi="仿宋_GB2312"/>
          <w:sz w:val="32"/>
        </w:rPr>
      </w:pPr>
      <w:r>
        <w:rPr>
          <w:rStyle w:val="C3"/>
          <w:rFonts w:ascii="Microsoft YaHei UI" w:hAnsi="Microsoft YaHei UI"/>
          <w:sz w:val="32"/>
        </w:rPr>
        <w:t>第二节</w:t>
      </w:r>
      <w:r>
        <w:rPr>
          <w:rStyle w:val="C3"/>
          <w:rFonts w:ascii="仿宋_GB2312" w:hAnsi="仿宋_GB2312"/>
          <w:sz w:val="32"/>
        </w:rPr>
        <w:t xml:space="preserve">  </w:t>
      </w:r>
      <w:r>
        <w:rPr>
          <w:rStyle w:val="C3"/>
          <w:rFonts w:ascii="Microsoft YaHei UI" w:hAnsi="Microsoft YaHei UI"/>
          <w:sz w:val="32"/>
        </w:rPr>
        <w:t>城市道路和公共场地容貌管理</w:t>
      </w:r>
    </w:p>
    <w:p>
      <w:pPr>
        <w:pStyle w:val="P1"/>
        <w:spacing w:lineRule="exact" w:line="576"/>
        <w:ind w:left="620"/>
        <w:jc w:val="center"/>
        <w:rPr>
          <w:rStyle w:val="C3"/>
          <w:rFonts w:ascii="仿宋_GB2312" w:hAnsi="仿宋_GB2312"/>
          <w:sz w:val="32"/>
        </w:rPr>
      </w:pPr>
    </w:p>
    <w:p>
      <w:pPr>
        <w:pStyle w:val="P1"/>
        <w:spacing w:lineRule="exact" w:line="576"/>
        <w:ind w:firstLine="62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城市道路及其附属设施应当保持整洁、完好，污损、缺失、移位的，所有权人或者管理人应当及时清洗、修复、更换。</w:t>
      </w:r>
    </w:p>
    <w:p>
      <w:pPr>
        <w:pStyle w:val="P1"/>
        <w:spacing w:lineRule="exact" w:line="576"/>
        <w:ind w:firstLine="620"/>
        <w:rPr>
          <w:rStyle w:val="C3"/>
          <w:rFonts w:ascii="仿宋_GB2312" w:hAnsi="仿宋_GB2312"/>
          <w:sz w:val="32"/>
        </w:rPr>
      </w:pPr>
      <w:r>
        <w:rPr>
          <w:rStyle w:val="C3"/>
          <w:rFonts w:ascii="Microsoft YaHei UI" w:hAnsi="Microsoft YaHei UI"/>
          <w:sz w:val="32"/>
        </w:rPr>
        <w:t>除紧急抢修外，任何单位和个人不得擅自挖掘城市道路。新建、扩建、改建城市道路应当同步规划建设地下管线、道路景观及公用设施，并在开工前向社会公告。</w:t>
      </w:r>
    </w:p>
    <w:p>
      <w:pPr>
        <w:pStyle w:val="P1"/>
        <w:spacing w:lineRule="exact" w:line="576"/>
        <w:ind w:firstLine="620"/>
        <w:rPr>
          <w:rStyle w:val="C3"/>
          <w:rFonts w:ascii="仿宋_GB2312" w:hAnsi="仿宋_GB2312"/>
          <w:sz w:val="32"/>
        </w:rPr>
      </w:pPr>
      <w:r>
        <w:rPr>
          <w:rStyle w:val="C3"/>
          <w:rFonts w:ascii="Microsoft YaHei UI" w:hAnsi="Microsoft YaHei UI"/>
          <w:sz w:val="32"/>
        </w:rPr>
        <w:t>新建、扩建、改建的城市道路交付使用后五年内，大修的城市道路竣工后三年内不得挖掘。因特殊情况需要挖掘的，应当举行听证并经市、县级人民政府批准。</w:t>
      </w:r>
    </w:p>
    <w:p>
      <w:pPr>
        <w:pStyle w:val="P1"/>
        <w:spacing w:lineRule="exact" w:line="576"/>
        <w:ind w:firstLine="620"/>
        <w:rPr>
          <w:rStyle w:val="C3"/>
          <w:rFonts w:ascii="仿宋_GB2312" w:hAnsi="仿宋_GB2312"/>
          <w:sz w:val="32"/>
        </w:rPr>
      </w:pPr>
      <w:r>
        <w:rPr>
          <w:rStyle w:val="C3"/>
          <w:rFonts w:ascii="Microsoft YaHei UI" w:hAnsi="Microsoft YaHei UI"/>
          <w:sz w:val="32"/>
        </w:rPr>
        <w:t>挖掘道路应当防止影响市容、污染环境。挖掘现场应当设置警示标志和安全围护设施。挖掘完工后，应当及时拆除临时设施、清理现场。</w:t>
      </w:r>
    </w:p>
    <w:p>
      <w:pPr>
        <w:pStyle w:val="P1"/>
        <w:spacing w:lineRule="exact" w:line="576"/>
        <w:ind w:firstLine="62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城市道路上的书报亭、信息亭、通信交换箱、配电箱、路灯杆、电线杆、交通标志、交通护栏、路名牌、交通站牌、垃圾箱、消防栓等设施应当统一规划，有序设置，符合城市容貌标准。</w:t>
      </w:r>
    </w:p>
    <w:p>
      <w:pPr>
        <w:pStyle w:val="P1"/>
        <w:spacing w:lineRule="exact" w:line="576"/>
        <w:ind w:firstLine="620"/>
        <w:rPr>
          <w:rStyle w:val="C3"/>
          <w:rFonts w:ascii="仿宋_GB2312" w:hAnsi="仿宋_GB2312"/>
          <w:sz w:val="32"/>
        </w:rPr>
      </w:pPr>
      <w:r>
        <w:rPr>
          <w:rStyle w:val="C3"/>
          <w:rFonts w:ascii="Microsoft YaHei UI" w:hAnsi="Microsoft YaHei UI"/>
          <w:sz w:val="32"/>
        </w:rPr>
        <w:t>设置单位应当负责设施的日常维护，保持设施干净整洁、牢固安全。设施出现污浊、腐蚀、破损的，设置单位应当及时清洗、修复、拆除或者更换。</w:t>
      </w:r>
    </w:p>
    <w:p>
      <w:pPr>
        <w:pStyle w:val="P1"/>
        <w:spacing w:lineRule="exact" w:line="576"/>
        <w:ind w:firstLine="62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禁止擅自在城市道路、广场、城市桥梁、人行天桥、绿地、河道范围内等公共场地搭建设施、摆摊设点、堆放物料、兜售物品、修车洗车、生产加工、营销宣传、摆酒设宴等影响市容和环境卫生。</w:t>
      </w:r>
    </w:p>
    <w:p>
      <w:pPr>
        <w:pStyle w:val="P1"/>
        <w:spacing w:lineRule="exact" w:line="576"/>
        <w:ind w:firstLine="620"/>
        <w:rPr>
          <w:rStyle w:val="C3"/>
          <w:rFonts w:ascii="仿宋_GB2312" w:hAnsi="仿宋_GB2312"/>
          <w:sz w:val="32"/>
        </w:rPr>
      </w:pPr>
      <w:r>
        <w:rPr>
          <w:rStyle w:val="C3"/>
          <w:rFonts w:ascii="Microsoft YaHei UI" w:hAnsi="Microsoft YaHei UI"/>
          <w:sz w:val="32"/>
        </w:rPr>
        <w:t>禁止占用城市道路开展棋牌等娱乐活动。</w:t>
      </w:r>
    </w:p>
    <w:p>
      <w:pPr>
        <w:pStyle w:val="P1"/>
        <w:spacing w:lineRule="exact" w:line="576"/>
        <w:ind w:firstLine="62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临时占用道路进行装修施工的，应当经批准后，按照市容环境卫生主管部门的要求规范设置围挡，并采取防尘降尘措施，及时清除有关构筑物及废弃物。</w:t>
      </w:r>
    </w:p>
    <w:p>
      <w:pPr>
        <w:pStyle w:val="P1"/>
        <w:spacing w:lineRule="exact" w:line="576"/>
        <w:ind w:firstLine="62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市、县级人民政府应当科学规划、建设集贸市场，完善配套设施，引导农产品、日用小商品经营者进入市场从事经营活动。</w:t>
      </w:r>
    </w:p>
    <w:p>
      <w:pPr>
        <w:pStyle w:val="P1"/>
        <w:spacing w:lineRule="exact" w:line="576"/>
        <w:ind w:firstLine="620"/>
        <w:rPr>
          <w:rStyle w:val="C3"/>
          <w:rFonts w:ascii="仿宋_GB2312" w:hAnsi="仿宋_GB2312"/>
          <w:sz w:val="32"/>
        </w:rPr>
      </w:pPr>
      <w:r>
        <w:rPr>
          <w:rStyle w:val="C3"/>
          <w:rFonts w:ascii="Microsoft YaHei UI" w:hAnsi="Microsoft YaHei UI"/>
          <w:sz w:val="32"/>
        </w:rPr>
        <w:t>街道办事处、镇（乡）人民政府可以根据群众需要，在不影响安全、交通、市容环保等情况下，设置临时摊区。经营者应当按照规定的地点、时限有序经营。</w:t>
      </w:r>
    </w:p>
    <w:p>
      <w:pPr>
        <w:pStyle w:val="P1"/>
        <w:spacing w:lineRule="exact" w:line="576"/>
        <w:ind w:firstLine="62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临街和广场周边的商场、商店、餐馆等经营场所的经营者，不得超出门窗、外墙摆卖物品或者进行其他经营活动。</w:t>
      </w:r>
    </w:p>
    <w:p>
      <w:pPr>
        <w:pStyle w:val="P1"/>
        <w:spacing w:lineRule="exact" w:line="576"/>
        <w:ind w:firstLine="62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机动车停车场、非机动车停放点（亭、棚）应当按照城镇发展需要同步规划、合理布局，规范设置。</w:t>
      </w:r>
    </w:p>
    <w:p>
      <w:pPr>
        <w:pStyle w:val="P1"/>
        <w:spacing w:lineRule="exact" w:line="576"/>
        <w:ind w:firstLine="620"/>
        <w:rPr>
          <w:rStyle w:val="C3"/>
          <w:rFonts w:ascii="仿宋_GB2312" w:hAnsi="仿宋_GB2312"/>
          <w:sz w:val="32"/>
        </w:rPr>
      </w:pPr>
      <w:r>
        <w:rPr>
          <w:rStyle w:val="C3"/>
          <w:rFonts w:ascii="Microsoft YaHei UI" w:hAnsi="Microsoft YaHei UI"/>
          <w:sz w:val="32"/>
        </w:rPr>
        <w:t>任何单位和个人不得擅自占用城市公共区域设置停车场、停放点（亭、棚）或者施划停车位。</w:t>
      </w:r>
    </w:p>
    <w:p>
      <w:pPr>
        <w:pStyle w:val="P1"/>
        <w:spacing w:lineRule="exact" w:line="576"/>
        <w:ind w:firstLine="62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机动车、非机动车应当在规定的地点、时段规范停放。禁止违法占用车行道、人行道、广场、公交专用道等公共区域停放车辆或者停放经营。</w:t>
      </w:r>
    </w:p>
    <w:p>
      <w:pPr>
        <w:pStyle w:val="P1"/>
        <w:spacing w:lineRule="exact" w:line="576"/>
        <w:ind w:firstLine="620"/>
        <w:rPr>
          <w:rStyle w:val="C3"/>
          <w:rFonts w:ascii="仿宋_GB2312" w:hAnsi="仿宋_GB2312"/>
          <w:sz w:val="32"/>
        </w:rPr>
      </w:pPr>
      <w:r>
        <w:rPr>
          <w:rStyle w:val="C3"/>
          <w:rFonts w:ascii="Microsoft YaHei UI" w:hAnsi="Microsoft YaHei UI"/>
          <w:sz w:val="32"/>
        </w:rPr>
        <w:t>摩托车、电动车不得在城区人行道行驶。</w:t>
      </w:r>
    </w:p>
    <w:p>
      <w:pPr>
        <w:pStyle w:val="P1"/>
        <w:spacing w:lineRule="exact" w:line="576"/>
        <w:ind w:firstLine="62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任何单位和个人不得擅自在城市道路、广场等公共场地设置隔离桩、隔离栏、地锁、水泥墩等隔离设施；不得擅自在道路路缘设置接坡。</w:t>
      </w:r>
    </w:p>
    <w:p>
      <w:pPr>
        <w:pStyle w:val="P1"/>
        <w:spacing w:lineRule="exact" w:line="576"/>
        <w:ind w:firstLine="62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闲置土地或者待建用地的土地使用权人或者管理人应当规范设置围墙、围挡等隔离设施。</w:t>
      </w:r>
    </w:p>
    <w:p>
      <w:pPr>
        <w:pStyle w:val="P1"/>
        <w:spacing w:lineRule="exact" w:line="576"/>
        <w:ind w:firstLine="62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公共绿地（带）、行道树及其附属设施等，应当保持整洁、美观。绿地（带）损坏、行道树缺株、枯死的，应当及时补植、更换。植树、整枝或者修建绿地（带）等作业所产生的废弃物，应当及时清除。</w:t>
      </w:r>
    </w:p>
    <w:p>
      <w:pPr>
        <w:pStyle w:val="P1"/>
        <w:spacing w:lineRule="exact" w:line="576"/>
        <w:ind w:firstLine="62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任何单位和个人应当保护和正确使用市政环卫等公共设施，禁止损毁、盗窃、占用。</w:t>
      </w:r>
    </w:p>
    <w:p>
      <w:pPr>
        <w:pStyle w:val="P1"/>
        <w:spacing w:lineRule="exact" w:line="576"/>
        <w:ind w:firstLine="620"/>
        <w:rPr>
          <w:rStyle w:val="C3"/>
          <w:rFonts w:ascii="仿宋_GB2312" w:hAnsi="仿宋_GB2312"/>
          <w:sz w:val="32"/>
        </w:rPr>
      </w:pPr>
    </w:p>
    <w:p>
      <w:pPr>
        <w:pStyle w:val="P1"/>
        <w:spacing w:lineRule="exact" w:line="576"/>
        <w:ind w:left="620"/>
        <w:jc w:val="center"/>
        <w:rPr>
          <w:rStyle w:val="C3"/>
          <w:rFonts w:ascii="仿宋_GB2312" w:hAnsi="仿宋_GB2312"/>
          <w:sz w:val="32"/>
        </w:rPr>
      </w:pPr>
      <w:r>
        <w:rPr>
          <w:rStyle w:val="C3"/>
          <w:rFonts w:ascii="Microsoft YaHei UI" w:hAnsi="Microsoft YaHei UI"/>
          <w:sz w:val="32"/>
        </w:rPr>
        <w:t>第三节</w:t>
      </w:r>
      <w:r>
        <w:rPr>
          <w:rStyle w:val="C3"/>
          <w:rFonts w:ascii="仿宋_GB2312" w:hAnsi="仿宋_GB2312"/>
          <w:sz w:val="32"/>
        </w:rPr>
        <w:t xml:space="preserve">  </w:t>
      </w:r>
      <w:r>
        <w:rPr>
          <w:rStyle w:val="C3"/>
          <w:rFonts w:ascii="Microsoft YaHei UI" w:hAnsi="Microsoft YaHei UI"/>
          <w:sz w:val="32"/>
        </w:rPr>
        <w:t>户外广告和招牌设置管理</w:t>
      </w:r>
    </w:p>
    <w:p>
      <w:pPr>
        <w:pStyle w:val="P1"/>
        <w:spacing w:lineRule="exact" w:line="576"/>
        <w:ind w:left="1775"/>
        <w:rPr>
          <w:rStyle w:val="C3"/>
          <w:rFonts w:ascii="仿宋_GB2312" w:hAnsi="仿宋_GB2312"/>
          <w:sz w:val="32"/>
        </w:rPr>
      </w:pPr>
    </w:p>
    <w:p>
      <w:pPr>
        <w:pStyle w:val="P1"/>
        <w:spacing w:lineRule="exact" w:line="576"/>
        <w:ind w:firstLine="62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设置户外广告应当符合城市容貌标准和户外广告设置技术规范。有下列情形之一的，禁止设置户外广告：</w:t>
      </w:r>
    </w:p>
    <w:p>
      <w:pPr>
        <w:pStyle w:val="P1"/>
        <w:spacing w:lineRule="exact" w:line="576"/>
        <w:ind w:firstLine="620"/>
        <w:rPr>
          <w:rStyle w:val="C3"/>
          <w:rFonts w:ascii="仿宋_GB2312" w:hAnsi="仿宋_GB2312"/>
          <w:sz w:val="32"/>
        </w:rPr>
      </w:pPr>
      <w:r>
        <w:rPr>
          <w:rStyle w:val="C3"/>
          <w:rFonts w:ascii="Microsoft YaHei UI" w:hAnsi="Microsoft YaHei UI"/>
          <w:sz w:val="32"/>
        </w:rPr>
        <w:t>（一）影响市政公共设施、交通安全设施、交通标志、消防设施、消防安全标志使用的；</w:t>
      </w:r>
    </w:p>
    <w:p>
      <w:pPr>
        <w:pStyle w:val="P1"/>
        <w:spacing w:lineRule="exact" w:line="576"/>
        <w:ind w:firstLine="620"/>
        <w:rPr>
          <w:rStyle w:val="C3"/>
          <w:rFonts w:ascii="仿宋_GB2312" w:hAnsi="仿宋_GB2312"/>
          <w:sz w:val="32"/>
        </w:rPr>
      </w:pPr>
      <w:r>
        <w:rPr>
          <w:rStyle w:val="C3"/>
          <w:rFonts w:ascii="Microsoft YaHei UI" w:hAnsi="Microsoft YaHei UI"/>
          <w:sz w:val="32"/>
        </w:rPr>
        <w:t>（二）妨碍生产或者人民生活，损害市容市貌的；</w:t>
      </w:r>
    </w:p>
    <w:p>
      <w:pPr>
        <w:pStyle w:val="P1"/>
        <w:spacing w:lineRule="exact" w:line="576"/>
        <w:ind w:firstLine="620"/>
        <w:rPr>
          <w:rStyle w:val="C3"/>
          <w:rFonts w:ascii="仿宋_GB2312" w:hAnsi="仿宋_GB2312"/>
          <w:sz w:val="32"/>
        </w:rPr>
      </w:pPr>
      <w:r>
        <w:rPr>
          <w:rStyle w:val="C3"/>
          <w:rFonts w:ascii="Microsoft YaHei UI" w:hAnsi="Microsoft YaHei UI"/>
          <w:sz w:val="32"/>
        </w:rPr>
        <w:t>（三）在国家机关、文物保护单位、风景名胜区等的建筑控制地带或者市、县级人民政府禁止设置户外广告的区域设置的；</w:t>
      </w:r>
    </w:p>
    <w:p>
      <w:pPr>
        <w:pStyle w:val="P1"/>
        <w:spacing w:lineRule="exact" w:line="576"/>
        <w:ind w:firstLine="620"/>
        <w:rPr>
          <w:rStyle w:val="C3"/>
          <w:rFonts w:ascii="仿宋_GB2312" w:hAnsi="仿宋_GB2312"/>
          <w:sz w:val="32"/>
        </w:rPr>
      </w:pPr>
      <w:r>
        <w:rPr>
          <w:rStyle w:val="C3"/>
          <w:rFonts w:ascii="Microsoft YaHei UI" w:hAnsi="Microsoft YaHei UI"/>
          <w:sz w:val="32"/>
        </w:rPr>
        <w:t>（四）法律、法规以及规划禁止设置户外广告的其他情形。</w:t>
      </w:r>
    </w:p>
    <w:p>
      <w:pPr>
        <w:pStyle w:val="P1"/>
        <w:spacing w:lineRule="exact" w:line="576"/>
        <w:ind w:firstLine="62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大型户外广告设置应当经市容环境卫生主管部门批准，并符合户外广告规划和设置技术规范。</w:t>
      </w:r>
    </w:p>
    <w:p>
      <w:pPr>
        <w:pStyle w:val="P1"/>
        <w:spacing w:lineRule="exact" w:line="576"/>
        <w:ind w:firstLine="62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户外广告设置人应当保持广告及其设施外形美观、安全牢固和亮化设施功能完备。户外广告外型污损、图文残缺、灯光显示不完整等影响市容的，应当及时修复、更换。</w:t>
      </w:r>
    </w:p>
    <w:p>
      <w:pPr>
        <w:pStyle w:val="P1"/>
        <w:spacing w:lineRule="exact" w:line="576"/>
        <w:ind w:firstLine="62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设置招牌应当符合城市容貌标准和相关技术规范。</w:t>
      </w:r>
    </w:p>
    <w:p>
      <w:pPr>
        <w:pStyle w:val="P1"/>
        <w:spacing w:lineRule="exact" w:line="576"/>
        <w:ind w:firstLine="620"/>
        <w:rPr>
          <w:rStyle w:val="C3"/>
          <w:rFonts w:ascii="仿宋_GB2312" w:hAnsi="仿宋_GB2312"/>
          <w:sz w:val="32"/>
        </w:rPr>
      </w:pPr>
      <w:r>
        <w:rPr>
          <w:rStyle w:val="C3"/>
          <w:rFonts w:ascii="Microsoft YaHei UI" w:hAnsi="Microsoft YaHei UI"/>
          <w:sz w:val="32"/>
        </w:rPr>
        <w:t>招牌应当保持整洁、美观、完整，文字规范，确保其牢固、安全。招牌污渍明显、残缺破损的，设置者应当及时清洗、维修、更换。</w:t>
      </w:r>
    </w:p>
    <w:p>
      <w:pPr>
        <w:pStyle w:val="P1"/>
        <w:spacing w:lineRule="exact" w:line="576"/>
        <w:ind w:firstLine="62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街道办事处、镇（乡）人民政府应当在街巷等公共区域选择适当地点设置公共信息栏，方便公众发布信息，并负责日常维护管理；物业服务企业应当根据需要在物业管理区域设置公共信息栏，并负责日常维护管理。</w:t>
      </w:r>
    </w:p>
    <w:p>
      <w:pPr>
        <w:pStyle w:val="P1"/>
        <w:spacing w:lineRule="exact" w:line="576"/>
        <w:ind w:firstLine="620"/>
        <w:rPr>
          <w:rStyle w:val="C3"/>
          <w:rFonts w:ascii="仿宋_GB2312" w:hAnsi="仿宋_GB2312"/>
          <w:sz w:val="32"/>
        </w:rPr>
      </w:pPr>
      <w:r>
        <w:rPr>
          <w:rStyle w:val="C3"/>
          <w:rFonts w:ascii="Microsoft YaHei UI" w:hAnsi="Microsoft YaHei UI"/>
          <w:sz w:val="32"/>
        </w:rPr>
        <w:t>禁止在公共信息栏外的建（构）筑物、城市道路、树木和护栏、路名牌、电线杆、路灯杆等设施上刻画、涂写，擅自张贴、悬挂宣传品。</w:t>
      </w:r>
    </w:p>
    <w:p>
      <w:pPr>
        <w:pStyle w:val="P1"/>
        <w:spacing w:lineRule="exact" w:line="576"/>
        <w:ind w:firstLine="620"/>
        <w:rPr>
          <w:rStyle w:val="C3"/>
          <w:rFonts w:ascii="仿宋_GB2312" w:hAnsi="仿宋_GB2312"/>
          <w:sz w:val="32"/>
        </w:rPr>
      </w:pPr>
    </w:p>
    <w:p>
      <w:pPr>
        <w:pStyle w:val="P1"/>
        <w:spacing w:lineRule="exact" w:line="576"/>
        <w:ind w:left="620"/>
        <w:jc w:val="center"/>
        <w:rPr>
          <w:rStyle w:val="C3"/>
          <w:rFonts w:ascii="仿宋_GB2312" w:hAnsi="仿宋_GB2312"/>
          <w:sz w:val="32"/>
        </w:rPr>
      </w:pPr>
      <w:r>
        <w:rPr>
          <w:rStyle w:val="C3"/>
          <w:rFonts w:ascii="Microsoft YaHei UI" w:hAnsi="Microsoft YaHei UI"/>
          <w:sz w:val="32"/>
        </w:rPr>
        <w:t>第四节</w:t>
      </w:r>
      <w:r>
        <w:rPr>
          <w:rStyle w:val="C3"/>
          <w:rFonts w:ascii="仿宋_GB2312" w:hAnsi="仿宋_GB2312"/>
          <w:sz w:val="32"/>
        </w:rPr>
        <w:t xml:space="preserve">  </w:t>
      </w:r>
      <w:r>
        <w:rPr>
          <w:rStyle w:val="C3"/>
          <w:rFonts w:ascii="Microsoft YaHei UI" w:hAnsi="Microsoft YaHei UI"/>
          <w:sz w:val="32"/>
        </w:rPr>
        <w:t>照明管理</w:t>
      </w:r>
    </w:p>
    <w:p>
      <w:pPr>
        <w:pStyle w:val="P1"/>
        <w:spacing w:lineRule="exact" w:line="576"/>
        <w:ind w:left="1775"/>
        <w:rPr>
          <w:rStyle w:val="C3"/>
          <w:rFonts w:ascii="仿宋_GB2312" w:hAnsi="仿宋_GB2312"/>
          <w:sz w:val="32"/>
        </w:rPr>
      </w:pPr>
    </w:p>
    <w:p>
      <w:pPr>
        <w:pStyle w:val="P1"/>
        <w:spacing w:lineRule="exact" w:line="576"/>
        <w:ind w:firstLine="62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各类照明应当符合城市容貌标准和环保、节能要求，并按照规定控制外溢光、杂散光，避免影响道路交通安全和市民正常生活。</w:t>
      </w:r>
    </w:p>
    <w:p>
      <w:pPr>
        <w:pStyle w:val="P1"/>
        <w:spacing w:lineRule="exact" w:line="576"/>
        <w:ind w:firstLine="620"/>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下列区域、场所应当进行照明建设：</w:t>
      </w:r>
    </w:p>
    <w:p>
      <w:pPr>
        <w:pStyle w:val="P1"/>
        <w:spacing w:lineRule="exact" w:line="576"/>
        <w:ind w:firstLine="620"/>
        <w:rPr>
          <w:rStyle w:val="C3"/>
          <w:rFonts w:ascii="仿宋_GB2312" w:hAnsi="仿宋_GB2312"/>
          <w:sz w:val="32"/>
        </w:rPr>
      </w:pPr>
      <w:r>
        <w:rPr>
          <w:rStyle w:val="C3"/>
          <w:rFonts w:ascii="Microsoft YaHei UI" w:hAnsi="Microsoft YaHei UI"/>
          <w:sz w:val="32"/>
        </w:rPr>
        <w:t>（一）城市道路、隧道、城区主要出入口公路；</w:t>
      </w:r>
    </w:p>
    <w:p>
      <w:pPr>
        <w:pStyle w:val="P1"/>
        <w:spacing w:lineRule="exact" w:line="576"/>
        <w:ind w:firstLine="620"/>
        <w:rPr>
          <w:rStyle w:val="C3"/>
          <w:rFonts w:ascii="仿宋_GB2312" w:hAnsi="仿宋_GB2312"/>
          <w:sz w:val="32"/>
        </w:rPr>
      </w:pPr>
      <w:r>
        <w:rPr>
          <w:rStyle w:val="C3"/>
          <w:rFonts w:ascii="Microsoft YaHei UI" w:hAnsi="Microsoft YaHei UI"/>
          <w:sz w:val="32"/>
        </w:rPr>
        <w:t>（二）城市桥梁；</w:t>
      </w:r>
    </w:p>
    <w:p>
      <w:pPr>
        <w:pStyle w:val="P1"/>
        <w:spacing w:lineRule="exact" w:line="576"/>
        <w:ind w:firstLine="620"/>
        <w:rPr>
          <w:rStyle w:val="C3"/>
          <w:rFonts w:ascii="仿宋_GB2312" w:hAnsi="仿宋_GB2312"/>
          <w:sz w:val="32"/>
        </w:rPr>
      </w:pPr>
      <w:r>
        <w:rPr>
          <w:rStyle w:val="C3"/>
          <w:rFonts w:ascii="Microsoft YaHei UI" w:hAnsi="Microsoft YaHei UI"/>
          <w:sz w:val="32"/>
        </w:rPr>
        <w:t>（三）公园、广场；</w:t>
      </w:r>
    </w:p>
    <w:p>
      <w:pPr>
        <w:pStyle w:val="P1"/>
        <w:spacing w:lineRule="exact" w:line="576"/>
        <w:ind w:firstLine="620"/>
        <w:rPr>
          <w:rStyle w:val="C3"/>
          <w:rFonts w:ascii="仿宋_GB2312" w:hAnsi="仿宋_GB2312"/>
          <w:sz w:val="32"/>
        </w:rPr>
      </w:pPr>
      <w:r>
        <w:rPr>
          <w:rStyle w:val="C3"/>
          <w:rFonts w:ascii="Microsoft YaHei UI" w:hAnsi="Microsoft YaHei UI"/>
          <w:sz w:val="32"/>
        </w:rPr>
        <w:t>（四）城市开放式小区的公共通道等需要照明的区域。</w:t>
      </w:r>
    </w:p>
    <w:p>
      <w:pPr>
        <w:pStyle w:val="P1"/>
        <w:spacing w:lineRule="exact" w:line="576"/>
        <w:ind w:firstLine="620"/>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城市照明设施由所有权人或者管理单位负责日常维护管理，应当保持设施的整洁完好、正常开闭和安全使用。</w:t>
      </w:r>
    </w:p>
    <w:p>
      <w:pPr>
        <w:pStyle w:val="P1"/>
        <w:spacing w:lineRule="exact" w:line="576"/>
        <w:ind w:firstLine="620"/>
        <w:rPr>
          <w:rStyle w:val="C3"/>
          <w:rFonts w:ascii="仿宋_GB2312" w:hAnsi="仿宋_GB2312"/>
          <w:sz w:val="32"/>
        </w:rPr>
      </w:pPr>
      <w:r>
        <w:rPr>
          <w:rStyle w:val="C3"/>
          <w:rFonts w:ascii="Microsoft YaHei UI" w:hAnsi="Microsoft YaHei UI"/>
          <w:sz w:val="32"/>
        </w:rPr>
        <w:t>照明设施的图案、文字、灯光显示不全或者污浊、腐蚀以及损坏的，应当及时清洗、修复、更换。</w:t>
      </w:r>
    </w:p>
    <w:p>
      <w:pPr>
        <w:pStyle w:val="P1"/>
        <w:spacing w:lineRule="exact" w:line="576"/>
        <w:ind w:firstLine="620"/>
        <w:rPr>
          <w:rStyle w:val="C3"/>
          <w:rFonts w:ascii="仿宋_GB2312" w:hAnsi="仿宋_GB2312"/>
          <w:sz w:val="32"/>
        </w:rPr>
      </w:pPr>
    </w:p>
    <w:p>
      <w:pPr>
        <w:pStyle w:val="P1"/>
        <w:spacing w:lineRule="exact" w:line="576"/>
        <w:ind w:firstLine="620"/>
        <w:jc w:val="center"/>
        <w:rPr>
          <w:rStyle w:val="C3"/>
          <w:rFonts w:ascii="黑体" w:hAnsi="黑体"/>
          <w:sz w:val="32"/>
        </w:rPr>
      </w:pPr>
      <w:r>
        <w:rPr>
          <w:rStyle w:val="C3"/>
          <w:rFonts w:ascii="黑体" w:hAnsi="黑体"/>
          <w:sz w:val="32"/>
        </w:rPr>
        <w:t xml:space="preserve">第三章  环境卫生管理</w:t>
      </w:r>
    </w:p>
    <w:p>
      <w:pPr>
        <w:pStyle w:val="P1"/>
        <w:spacing w:lineRule="exact" w:line="576"/>
        <w:ind w:firstLine="620"/>
        <w:rPr>
          <w:rStyle w:val="C3"/>
          <w:rFonts w:ascii="仿宋_GB2312" w:hAnsi="仿宋_GB2312"/>
          <w:sz w:val="32"/>
        </w:rPr>
      </w:pPr>
    </w:p>
    <w:p>
      <w:pPr>
        <w:pStyle w:val="P1"/>
        <w:spacing w:lineRule="exact" w:line="576"/>
        <w:ind w:left="620"/>
        <w:jc w:val="center"/>
        <w:rPr>
          <w:rStyle w:val="C3"/>
          <w:rFonts w:ascii="仿宋_GB2312" w:hAnsi="仿宋_GB2312"/>
          <w:sz w:val="32"/>
        </w:rPr>
      </w:pPr>
      <w:r>
        <w:rPr>
          <w:rStyle w:val="C3"/>
          <w:rFonts w:ascii="Microsoft YaHei UI" w:hAnsi="Microsoft YaHei UI"/>
          <w:sz w:val="32"/>
        </w:rPr>
        <w:t>第一节</w:t>
      </w:r>
      <w:r>
        <w:rPr>
          <w:rStyle w:val="C3"/>
          <w:rFonts w:ascii="仿宋_GB2312" w:hAnsi="仿宋_GB2312"/>
          <w:sz w:val="32"/>
        </w:rPr>
        <w:t xml:space="preserve">  </w:t>
      </w:r>
      <w:r>
        <w:rPr>
          <w:rStyle w:val="C3"/>
          <w:rFonts w:ascii="Microsoft YaHei UI" w:hAnsi="Microsoft YaHei UI"/>
          <w:sz w:val="32"/>
        </w:rPr>
        <w:t>环境卫生设施建设和作业服务管理</w:t>
      </w:r>
    </w:p>
    <w:p>
      <w:pPr>
        <w:pStyle w:val="P1"/>
        <w:spacing w:lineRule="exact" w:line="576"/>
        <w:ind w:left="1880"/>
        <w:rPr>
          <w:rStyle w:val="C3"/>
          <w:rFonts w:ascii="仿宋_GB2312" w:hAnsi="仿宋_GB2312"/>
          <w:sz w:val="32"/>
        </w:rPr>
      </w:pPr>
    </w:p>
    <w:p>
      <w:pPr>
        <w:pStyle w:val="P1"/>
        <w:spacing w:lineRule="exact" w:line="576"/>
        <w:ind w:firstLine="620"/>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新区开发、旧城改建、住宅小区建设、城市道路以及其他公用设施建设，建设单位应当按照规划要求和环境卫生设施设置标准，配套建设公共厕所、垃圾中转站等环境卫生设施，与主体工程同时设计、同时施工、同时验收、同时投入使用。</w:t>
      </w:r>
    </w:p>
    <w:p>
      <w:pPr>
        <w:pStyle w:val="P1"/>
        <w:spacing w:lineRule="exact" w:line="576"/>
        <w:ind w:firstLine="620"/>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公共厕所应当科学规划、建设，设置明显、规范、统一标志，专人保洁，免费开放。</w:t>
      </w:r>
    </w:p>
    <w:p>
      <w:pPr>
        <w:pStyle w:val="P1"/>
        <w:spacing w:lineRule="exact" w:line="576"/>
        <w:ind w:firstLine="620"/>
        <w:rPr>
          <w:rStyle w:val="C3"/>
          <w:rFonts w:ascii="仿宋_GB2312" w:hAnsi="仿宋_GB2312"/>
          <w:sz w:val="32"/>
        </w:rPr>
      </w:pPr>
      <w:r>
        <w:rPr>
          <w:rStyle w:val="C3"/>
          <w:rFonts w:ascii="Microsoft YaHei UI" w:hAnsi="Microsoft YaHei UI"/>
          <w:sz w:val="32"/>
        </w:rPr>
        <w:t>鼓励商业服务窗口单位、宾馆饭店以及机关、团体、企业事业单位等附设的内部厕所在工作（营业）时间对外开放。</w:t>
      </w:r>
    </w:p>
    <w:p>
      <w:pPr>
        <w:pStyle w:val="P1"/>
        <w:spacing w:lineRule="exact" w:line="576"/>
        <w:ind w:firstLine="620"/>
        <w:rPr>
          <w:rStyle w:val="C3"/>
          <w:rFonts w:ascii="仿宋_GB2312" w:hAnsi="仿宋_GB2312"/>
          <w:sz w:val="32"/>
        </w:rPr>
      </w:pPr>
      <w:r>
        <w:rPr>
          <w:rStyle w:val="C3"/>
          <w:rFonts w:ascii="Microsoft YaHei UI" w:hAnsi="Microsoft YaHei UI"/>
          <w:sz w:val="32"/>
        </w:rPr>
        <w:t>使用人应当自觉维护公共厕所的清洁卫生，爱护公共厕所的设备。</w:t>
      </w:r>
    </w:p>
    <w:p>
      <w:pPr>
        <w:pStyle w:val="P1"/>
        <w:spacing w:lineRule="exact" w:line="576"/>
        <w:ind w:firstLine="620"/>
        <w:rPr>
          <w:rStyle w:val="C3"/>
          <w:rFonts w:ascii="仿宋_GB2312" w:hAnsi="仿宋_GB2312"/>
          <w:sz w:val="32"/>
        </w:rPr>
      </w:pPr>
      <w:r>
        <w:rPr>
          <w:rStyle w:val="C3"/>
          <w:rFonts w:ascii="黑体" w:hAnsi="黑体"/>
          <w:sz w:val="32"/>
        </w:rPr>
        <w:t>第三十九条</w:t>
      </w:r>
      <w:r>
        <w:rPr>
          <w:rStyle w:val="C3"/>
          <w:rFonts w:ascii="Microsoft YaHei UI" w:hAnsi="Microsoft YaHei UI"/>
          <w:sz w:val="32"/>
        </w:rPr>
        <w:t>　环境卫生作业推行社会化服务。从事环境卫生作业服务的企业应当合法经营，文明服务，遵守市容和环境卫生作业规范及作业服务合同，按照城市容貌标准和环境卫生质量标准在规定时间内完成道路清扫、冲洗除尘和生活垃圾收运等作业，避免在交通高峰时段从事影响交通的环卫作业。</w:t>
      </w:r>
    </w:p>
    <w:p>
      <w:pPr>
        <w:pStyle w:val="P1"/>
        <w:spacing w:lineRule="exact" w:line="576"/>
        <w:ind w:firstLine="620"/>
        <w:rPr>
          <w:rStyle w:val="C3"/>
          <w:rFonts w:ascii="仿宋_GB2312" w:hAnsi="仿宋_GB2312"/>
          <w:sz w:val="32"/>
        </w:rPr>
      </w:pPr>
    </w:p>
    <w:p>
      <w:pPr>
        <w:pStyle w:val="P1"/>
        <w:spacing w:lineRule="exact" w:line="576"/>
        <w:ind w:left="620"/>
        <w:jc w:val="center"/>
        <w:rPr>
          <w:rStyle w:val="C3"/>
          <w:rFonts w:ascii="仿宋_GB2312" w:hAnsi="仿宋_GB2312"/>
          <w:sz w:val="32"/>
        </w:rPr>
      </w:pPr>
      <w:r>
        <w:rPr>
          <w:rStyle w:val="C3"/>
          <w:rFonts w:ascii="Microsoft YaHei UI" w:hAnsi="Microsoft YaHei UI"/>
          <w:sz w:val="32"/>
        </w:rPr>
        <w:t>第二节</w:t>
      </w:r>
      <w:r>
        <w:rPr>
          <w:rStyle w:val="C3"/>
          <w:rFonts w:ascii="仿宋_GB2312" w:hAnsi="仿宋_GB2312"/>
          <w:sz w:val="32"/>
        </w:rPr>
        <w:t xml:space="preserve">  </w:t>
      </w:r>
      <w:r>
        <w:rPr>
          <w:rStyle w:val="C3"/>
          <w:rFonts w:ascii="Microsoft YaHei UI" w:hAnsi="Microsoft YaHei UI"/>
          <w:sz w:val="32"/>
        </w:rPr>
        <w:t>公共场所环境卫生管理</w:t>
      </w:r>
    </w:p>
    <w:p>
      <w:pPr>
        <w:pStyle w:val="P1"/>
        <w:spacing w:lineRule="exact" w:line="576"/>
        <w:ind w:left="1880"/>
        <w:rPr>
          <w:rStyle w:val="C3"/>
          <w:rFonts w:ascii="仿宋_GB2312" w:hAnsi="仿宋_GB2312"/>
          <w:sz w:val="32"/>
        </w:rPr>
      </w:pPr>
    </w:p>
    <w:p>
      <w:pPr>
        <w:pStyle w:val="P1"/>
        <w:spacing w:lineRule="exact" w:line="576"/>
        <w:ind w:firstLine="620"/>
        <w:rPr>
          <w:rStyle w:val="C3"/>
          <w:rFonts w:ascii="仿宋_GB2312" w:hAnsi="仿宋_GB2312"/>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推进环境空气质量、声环境质量信息化平台建设，在城市建成区人口密集的重点区域加强环境空气质量、声环境质量监测，公布监测数据。</w:t>
      </w:r>
    </w:p>
    <w:p>
      <w:pPr>
        <w:pStyle w:val="P1"/>
        <w:spacing w:lineRule="exact" w:line="576"/>
        <w:ind w:firstLine="620"/>
        <w:rPr>
          <w:rStyle w:val="C3"/>
          <w:rFonts w:ascii="仿宋_GB2312" w:hAnsi="仿宋_GB2312"/>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在公共场地开展娱乐、健身活动时，应当保持公共场地环境卫生整洁，不得影响他人通行，不得发出过大音量干扰周围居民正常生活。</w:t>
      </w:r>
    </w:p>
    <w:p>
      <w:pPr>
        <w:pStyle w:val="P1"/>
        <w:spacing w:lineRule="exact" w:line="576"/>
        <w:ind w:firstLine="620"/>
        <w:rPr>
          <w:rStyle w:val="C3"/>
          <w:rFonts w:ascii="仿宋_GB2312" w:hAnsi="仿宋_GB2312"/>
          <w:sz w:val="32"/>
        </w:rPr>
      </w:pP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鼓励和倡导文明、绿色祭祀。禁止在城市道路、广场、居民小区、河道管理范围内等非指定场所抛撒、焚烧祭祀用品。</w:t>
      </w:r>
    </w:p>
    <w:p>
      <w:pPr>
        <w:pStyle w:val="P1"/>
        <w:spacing w:lineRule="exact" w:line="576"/>
        <w:ind w:firstLine="620"/>
        <w:rPr>
          <w:rStyle w:val="C3"/>
          <w:rFonts w:ascii="仿宋_GB2312" w:hAnsi="仿宋_GB2312"/>
          <w:sz w:val="32"/>
        </w:rPr>
      </w:pPr>
      <w:r>
        <w:rPr>
          <w:rStyle w:val="C3"/>
          <w:rFonts w:ascii="Microsoft YaHei UI" w:hAnsi="Microsoft YaHei UI"/>
          <w:sz w:val="32"/>
        </w:rPr>
        <w:t>禁止在非指定地点熏制腊肉、香肠等腌腊制品。</w:t>
      </w:r>
    </w:p>
    <w:p>
      <w:pPr>
        <w:pStyle w:val="P1"/>
        <w:spacing w:lineRule="exact" w:line="576"/>
        <w:ind w:firstLine="620"/>
        <w:rPr>
          <w:rStyle w:val="C3"/>
          <w:rFonts w:ascii="仿宋_GB2312" w:hAnsi="仿宋_GB2312"/>
          <w:sz w:val="32"/>
        </w:rPr>
      </w:pPr>
      <w:r>
        <w:rPr>
          <w:rStyle w:val="C3"/>
          <w:rFonts w:ascii="Microsoft YaHei UI" w:hAnsi="Microsoft YaHei UI"/>
          <w:sz w:val="32"/>
        </w:rPr>
        <w:t>第四十三条　饲养宠物不得影响环境卫生和周围居民正常生活，宠物在城市道路和公共场所便溺的，宠物饲养人或者管理人应当及时清除宠物排泄物。</w:t>
      </w:r>
    </w:p>
    <w:p>
      <w:pPr>
        <w:pStyle w:val="P1"/>
        <w:spacing w:lineRule="exact" w:line="576"/>
        <w:ind w:firstLine="620"/>
        <w:rPr>
          <w:rStyle w:val="C3"/>
          <w:rFonts w:ascii="仿宋_GB2312" w:hAnsi="仿宋_GB2312"/>
          <w:sz w:val="32"/>
        </w:rPr>
      </w:pP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在城市道路上行驶和停放的机动车应当保持车容整洁。</w:t>
      </w:r>
    </w:p>
    <w:p>
      <w:pPr>
        <w:pStyle w:val="P1"/>
        <w:spacing w:lineRule="exact" w:line="576"/>
        <w:ind w:firstLine="620"/>
        <w:rPr>
          <w:rStyle w:val="C3"/>
          <w:rFonts w:ascii="仿宋_GB2312" w:hAnsi="仿宋_GB2312"/>
          <w:sz w:val="32"/>
        </w:rPr>
      </w:pPr>
    </w:p>
    <w:p>
      <w:pPr>
        <w:pStyle w:val="P1"/>
        <w:spacing w:lineRule="exact" w:line="576"/>
        <w:ind w:left="620"/>
        <w:jc w:val="center"/>
        <w:rPr>
          <w:rStyle w:val="C3"/>
          <w:rFonts w:ascii="仿宋_GB2312" w:hAnsi="仿宋_GB2312"/>
          <w:sz w:val="32"/>
        </w:rPr>
      </w:pPr>
      <w:r>
        <w:rPr>
          <w:rStyle w:val="C3"/>
          <w:rFonts w:ascii="Microsoft YaHei UI" w:hAnsi="Microsoft YaHei UI"/>
          <w:sz w:val="32"/>
        </w:rPr>
        <w:t>第三节</w:t>
      </w:r>
      <w:r>
        <w:rPr>
          <w:rStyle w:val="C3"/>
          <w:rFonts w:ascii="仿宋_GB2312" w:hAnsi="仿宋_GB2312"/>
          <w:sz w:val="32"/>
        </w:rPr>
        <w:t xml:space="preserve"> </w:t>
      </w:r>
      <w:r>
        <w:rPr>
          <w:rStyle w:val="C3"/>
          <w:rFonts w:ascii="Microsoft YaHei UI" w:hAnsi="Microsoft YaHei UI"/>
          <w:sz w:val="32"/>
        </w:rPr>
        <w:t>垃圾管理</w:t>
      </w:r>
    </w:p>
    <w:p>
      <w:pPr>
        <w:pStyle w:val="P1"/>
        <w:spacing w:lineRule="exact" w:line="576"/>
        <w:ind w:left="1880"/>
        <w:rPr>
          <w:rStyle w:val="C3"/>
          <w:rFonts w:ascii="仿宋_GB2312" w:hAnsi="仿宋_GB2312"/>
          <w:sz w:val="32"/>
        </w:rPr>
      </w:pPr>
    </w:p>
    <w:p>
      <w:pPr>
        <w:pStyle w:val="P1"/>
        <w:spacing w:lineRule="exact" w:line="576"/>
        <w:ind w:firstLine="620"/>
        <w:rPr>
          <w:rStyle w:val="C3"/>
          <w:rFonts w:ascii="仿宋_GB2312" w:hAnsi="仿宋_GB2312"/>
          <w:sz w:val="32"/>
        </w:rPr>
      </w:pP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市、县级人民政府应当统筹推进生活垃圾分类投放、收集、运输、处理工作。</w:t>
      </w:r>
    </w:p>
    <w:p>
      <w:pPr>
        <w:pStyle w:val="P1"/>
        <w:spacing w:lineRule="exact" w:line="576"/>
        <w:ind w:firstLine="620"/>
        <w:rPr>
          <w:rStyle w:val="C3"/>
          <w:rFonts w:ascii="仿宋_GB2312" w:hAnsi="仿宋_GB2312"/>
          <w:sz w:val="32"/>
        </w:rPr>
      </w:pP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清扫、收集、运输、处置生活垃圾应当遵守国家有关环境保护和环境卫生管理规定，防止污染环境。任何单位和个人不得随意倾倒、抛撒或者堆放生活垃圾。</w:t>
      </w:r>
    </w:p>
    <w:p>
      <w:pPr>
        <w:pStyle w:val="P1"/>
        <w:spacing w:lineRule="exact" w:line="576"/>
        <w:ind w:firstLine="620"/>
        <w:rPr>
          <w:rStyle w:val="C3"/>
          <w:rFonts w:ascii="仿宋_GB2312" w:hAnsi="仿宋_GB2312"/>
          <w:sz w:val="32"/>
        </w:rPr>
      </w:pP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餐厨垃圾应当统一收集、运输，集中处置，鼓励减少餐厨垃圾的产生，推进餐厨垃圾的无害化处理和资源化利用。</w:t>
      </w:r>
    </w:p>
    <w:p>
      <w:pPr>
        <w:pStyle w:val="P1"/>
        <w:spacing w:lineRule="exact" w:line="576"/>
        <w:ind w:firstLine="620"/>
        <w:rPr>
          <w:rStyle w:val="C3"/>
          <w:rFonts w:ascii="仿宋_GB2312" w:hAnsi="仿宋_GB2312"/>
          <w:sz w:val="32"/>
        </w:rPr>
      </w:pPr>
      <w:r>
        <w:rPr>
          <w:rStyle w:val="C3"/>
          <w:rFonts w:ascii="黑体" w:hAnsi="黑体"/>
          <w:sz w:val="32"/>
        </w:rPr>
        <w:t>第四十八条</w:t>
      </w:r>
      <w:r>
        <w:rPr>
          <w:rStyle w:val="C3"/>
          <w:rFonts w:ascii="仿宋_GB2312" w:hAnsi="仿宋_GB2312"/>
          <w:sz w:val="32"/>
        </w:rPr>
        <w:t xml:space="preserve">  </w:t>
      </w:r>
      <w:r>
        <w:rPr>
          <w:rStyle w:val="C3"/>
          <w:rFonts w:ascii="Microsoft YaHei UI" w:hAnsi="Microsoft YaHei UI"/>
          <w:sz w:val="32"/>
        </w:rPr>
        <w:t>市、县级人民政府应当动态规划、建设建筑垃圾消纳场所、大件生活垃圾拆解场所。</w:t>
      </w:r>
    </w:p>
    <w:p>
      <w:pPr>
        <w:pStyle w:val="P1"/>
        <w:spacing w:lineRule="exact" w:line="576"/>
        <w:ind w:firstLine="620"/>
        <w:rPr>
          <w:rStyle w:val="C3"/>
          <w:rFonts w:ascii="仿宋_GB2312" w:hAnsi="仿宋_GB2312"/>
          <w:sz w:val="32"/>
        </w:rPr>
      </w:pPr>
      <w:r>
        <w:rPr>
          <w:rStyle w:val="C3"/>
          <w:rFonts w:ascii="Microsoft YaHei UI" w:hAnsi="Microsoft YaHei UI"/>
          <w:sz w:val="32"/>
        </w:rPr>
        <w:t>街道办事处、镇（乡）人民政府应当划定并公布辖区内建筑垃圾、大件生活垃圾临时集中堆放点。</w:t>
      </w:r>
    </w:p>
    <w:p>
      <w:pPr>
        <w:pStyle w:val="P1"/>
        <w:spacing w:lineRule="exact" w:line="576"/>
        <w:ind w:firstLine="620"/>
        <w:rPr>
          <w:rStyle w:val="C3"/>
          <w:rFonts w:ascii="仿宋_GB2312" w:hAnsi="仿宋_GB2312"/>
          <w:sz w:val="32"/>
        </w:rPr>
      </w:pPr>
      <w:r>
        <w:rPr>
          <w:rStyle w:val="C3"/>
          <w:rFonts w:ascii="Microsoft YaHei UI" w:hAnsi="Microsoft YaHei UI"/>
          <w:sz w:val="32"/>
        </w:rPr>
        <w:t>处置建筑垃圾的单位应当经市容环境卫生主管部门核准后，方可按照核准内容进行处置。</w:t>
      </w:r>
    </w:p>
    <w:p>
      <w:pPr>
        <w:pStyle w:val="P1"/>
        <w:spacing w:lineRule="exact" w:line="576"/>
        <w:ind w:firstLine="620"/>
        <w:rPr>
          <w:rStyle w:val="C3"/>
          <w:rFonts w:ascii="仿宋_GB2312" w:hAnsi="仿宋_GB2312"/>
          <w:sz w:val="32"/>
        </w:rPr>
      </w:pPr>
      <w:r>
        <w:rPr>
          <w:rStyle w:val="C3"/>
          <w:rFonts w:ascii="黑体" w:hAnsi="黑体"/>
          <w:sz w:val="32"/>
        </w:rPr>
        <w:t>第四十九条</w:t>
      </w:r>
      <w:r>
        <w:rPr>
          <w:rStyle w:val="C3"/>
          <w:rFonts w:ascii="仿宋_GB2312" w:hAnsi="仿宋_GB2312"/>
          <w:sz w:val="32"/>
        </w:rPr>
        <w:t xml:space="preserve">  </w:t>
      </w:r>
      <w:r>
        <w:rPr>
          <w:rStyle w:val="C3"/>
          <w:rFonts w:ascii="Microsoft YaHei UI" w:hAnsi="Microsoft YaHei UI"/>
          <w:sz w:val="32"/>
        </w:rPr>
        <w:t>从事垃圾处置的单位应当委托具有资质的机构，定期对水、大气、土壤等进行环境影响监测，对垃圾处置设施的性能和环保指标进行检测评价，并向市容环境卫生主管部门报告监测、评价结果。市容环境卫生主管部门应当定期对其监测、评价结果进行复查。</w:t>
      </w:r>
    </w:p>
    <w:p>
      <w:pPr>
        <w:pStyle w:val="P1"/>
        <w:spacing w:lineRule="exact" w:line="576"/>
        <w:ind w:firstLine="620"/>
        <w:rPr>
          <w:rStyle w:val="C3"/>
          <w:rFonts w:ascii="仿宋_GB2312" w:hAnsi="仿宋_GB2312"/>
          <w:sz w:val="32"/>
        </w:rPr>
      </w:pPr>
    </w:p>
    <w:p>
      <w:pPr>
        <w:pStyle w:val="P1"/>
        <w:spacing w:lineRule="exact" w:line="576"/>
        <w:ind w:firstLine="620"/>
        <w:jc w:val="center"/>
        <w:rPr>
          <w:rStyle w:val="C3"/>
          <w:rFonts w:ascii="黑体" w:hAnsi="黑体"/>
          <w:sz w:val="32"/>
        </w:rPr>
      </w:pPr>
      <w:r>
        <w:rPr>
          <w:rStyle w:val="C3"/>
          <w:rFonts w:ascii="黑体" w:hAnsi="黑体"/>
          <w:sz w:val="32"/>
        </w:rPr>
        <w:t xml:space="preserve">第四章  法律责任</w:t>
      </w:r>
    </w:p>
    <w:p>
      <w:pPr>
        <w:pStyle w:val="P1"/>
        <w:spacing w:lineRule="exact" w:line="576"/>
        <w:ind w:firstLine="620"/>
        <w:rPr>
          <w:rStyle w:val="C3"/>
          <w:rFonts w:ascii="仿宋_GB2312" w:hAnsi="仿宋_GB2312"/>
          <w:sz w:val="32"/>
        </w:rPr>
      </w:pPr>
    </w:p>
    <w:p>
      <w:pPr>
        <w:pStyle w:val="P1"/>
        <w:spacing w:lineRule="exact" w:line="576"/>
        <w:ind w:firstLine="620"/>
        <w:rPr>
          <w:rStyle w:val="C3"/>
          <w:rFonts w:ascii="仿宋_GB2312" w:hAnsi="仿宋_GB2312"/>
          <w:sz w:val="32"/>
        </w:rPr>
      </w:pPr>
      <w:r>
        <w:rPr>
          <w:rStyle w:val="C3"/>
          <w:rFonts w:ascii="黑体" w:hAnsi="黑体"/>
          <w:sz w:val="32"/>
        </w:rPr>
        <w:t>第五十条</w:t>
      </w:r>
      <w:r>
        <w:rPr>
          <w:rStyle w:val="C3"/>
          <w:rFonts w:ascii="仿宋_GB2312" w:hAnsi="仿宋_GB2312"/>
          <w:sz w:val="32"/>
        </w:rPr>
        <w:t xml:space="preserve">  </w:t>
      </w:r>
      <w:r>
        <w:rPr>
          <w:rStyle w:val="C3"/>
          <w:rFonts w:ascii="Microsoft YaHei UI" w:hAnsi="Microsoft YaHei UI"/>
          <w:sz w:val="32"/>
        </w:rPr>
        <w:t>违反本条例规定的行为，法律、法规已有法律责任规定的，从其规定。</w:t>
      </w:r>
    </w:p>
    <w:p>
      <w:pPr>
        <w:pStyle w:val="P1"/>
        <w:spacing w:lineRule="exact" w:line="576"/>
        <w:ind w:firstLine="620"/>
        <w:rPr>
          <w:rStyle w:val="C3"/>
          <w:rFonts w:ascii="仿宋_GB2312" w:hAnsi="仿宋_GB2312"/>
          <w:sz w:val="32"/>
        </w:rPr>
      </w:pPr>
      <w:r>
        <w:rPr>
          <w:rStyle w:val="C3"/>
          <w:rFonts w:ascii="黑体" w:hAnsi="黑体"/>
          <w:sz w:val="32"/>
        </w:rPr>
        <w:t>第五十一条</w:t>
      </w:r>
      <w:r>
        <w:rPr>
          <w:rStyle w:val="C3"/>
          <w:rFonts w:ascii="仿宋_GB2312" w:hAnsi="仿宋_GB2312"/>
          <w:sz w:val="32"/>
        </w:rPr>
        <w:t xml:space="preserve">  </w:t>
      </w:r>
      <w:r>
        <w:rPr>
          <w:rStyle w:val="C3"/>
          <w:rFonts w:ascii="Microsoft YaHei UI" w:hAnsi="Microsoft YaHei UI"/>
          <w:sz w:val="32"/>
        </w:rPr>
        <w:t>有下列情形之一的，由市容环境卫生主管部门责令改正或者限期清除；拒不改正或者清除的，可处五十元以上二百元以下罚款：</w:t>
      </w:r>
    </w:p>
    <w:p>
      <w:pPr>
        <w:pStyle w:val="P1"/>
        <w:spacing w:lineRule="exact" w:line="576"/>
        <w:ind w:firstLine="620"/>
        <w:rPr>
          <w:rStyle w:val="C3"/>
          <w:rFonts w:ascii="仿宋_GB2312" w:hAnsi="仿宋_GB2312"/>
          <w:sz w:val="32"/>
        </w:rPr>
      </w:pPr>
      <w:r>
        <w:rPr>
          <w:rStyle w:val="C3"/>
          <w:rFonts w:ascii="Microsoft YaHei UI" w:hAnsi="Microsoft YaHei UI"/>
          <w:sz w:val="32"/>
        </w:rPr>
        <w:t>（一）违反本条例第十四条规定，不符合城市容貌标准的；</w:t>
      </w:r>
    </w:p>
    <w:p>
      <w:pPr>
        <w:pStyle w:val="P1"/>
        <w:spacing w:lineRule="exact" w:line="576"/>
        <w:ind w:firstLine="620"/>
        <w:rPr>
          <w:rStyle w:val="C3"/>
          <w:rFonts w:ascii="仿宋_GB2312" w:hAnsi="仿宋_GB2312"/>
          <w:sz w:val="32"/>
        </w:rPr>
      </w:pPr>
      <w:r>
        <w:rPr>
          <w:rStyle w:val="C3"/>
          <w:rFonts w:ascii="Microsoft YaHei UI" w:hAnsi="Microsoft YaHei UI"/>
          <w:sz w:val="32"/>
        </w:rPr>
        <w:t>（二）违反本条例第十五条第一款规定，附属设施设置不规范的；</w:t>
      </w:r>
    </w:p>
    <w:p>
      <w:pPr>
        <w:pStyle w:val="P1"/>
        <w:spacing w:lineRule="exact" w:line="576"/>
        <w:ind w:firstLine="620"/>
        <w:rPr>
          <w:rStyle w:val="C3"/>
          <w:rFonts w:ascii="仿宋_GB2312" w:hAnsi="仿宋_GB2312"/>
          <w:sz w:val="32"/>
        </w:rPr>
      </w:pPr>
      <w:r>
        <w:rPr>
          <w:rStyle w:val="C3"/>
          <w:rFonts w:ascii="Microsoft YaHei UI" w:hAnsi="Microsoft YaHei UI"/>
          <w:sz w:val="32"/>
        </w:rPr>
        <w:t>（三）违反本条例第三十三条第二款规定，刻画、涂写或者擅自张贴、悬挂宣传品的；</w:t>
      </w:r>
    </w:p>
    <w:p>
      <w:pPr>
        <w:pStyle w:val="P1"/>
        <w:spacing w:lineRule="exact" w:line="576"/>
        <w:ind w:firstLine="620"/>
        <w:rPr>
          <w:rStyle w:val="C3"/>
          <w:rFonts w:ascii="仿宋_GB2312" w:hAnsi="仿宋_GB2312"/>
          <w:sz w:val="32"/>
        </w:rPr>
      </w:pPr>
      <w:r>
        <w:rPr>
          <w:rStyle w:val="C3"/>
          <w:rFonts w:ascii="Microsoft YaHei UI" w:hAnsi="Microsoft YaHei UI"/>
          <w:sz w:val="32"/>
        </w:rPr>
        <w:t>（四）违反本条例第四十二条规定，在非指定场所抛撒、焚烧祭祀用品或者在非指定地点熏制腊肉、香肠等腌腊制品的；</w:t>
      </w:r>
    </w:p>
    <w:p>
      <w:pPr>
        <w:pStyle w:val="P1"/>
        <w:spacing w:lineRule="exact" w:line="576"/>
        <w:ind w:firstLine="620"/>
        <w:rPr>
          <w:rStyle w:val="C3"/>
          <w:rFonts w:ascii="仿宋_GB2312" w:hAnsi="仿宋_GB2312"/>
          <w:sz w:val="32"/>
        </w:rPr>
      </w:pPr>
      <w:r>
        <w:rPr>
          <w:rStyle w:val="C3"/>
          <w:rFonts w:ascii="Microsoft YaHei UI" w:hAnsi="Microsoft YaHei UI"/>
          <w:sz w:val="32"/>
        </w:rPr>
        <w:t>（五）违反本条例第四十三条规定，饲养宠物影响环境卫生和周围居民正常生活的。</w:t>
      </w:r>
    </w:p>
    <w:p>
      <w:pPr>
        <w:pStyle w:val="P1"/>
        <w:spacing w:lineRule="exact" w:line="576"/>
        <w:ind w:firstLine="620"/>
        <w:rPr>
          <w:rStyle w:val="C3"/>
          <w:rFonts w:ascii="仿宋_GB2312" w:hAnsi="仿宋_GB2312"/>
          <w:sz w:val="32"/>
        </w:rPr>
      </w:pPr>
      <w:r>
        <w:rPr>
          <w:rStyle w:val="C3"/>
          <w:rFonts w:ascii="黑体" w:hAnsi="黑体"/>
          <w:sz w:val="32"/>
        </w:rPr>
        <w:t>第五十二条</w:t>
      </w:r>
      <w:r>
        <w:rPr>
          <w:rStyle w:val="C3"/>
          <w:rFonts w:ascii="仿宋_GB2312" w:hAnsi="仿宋_GB2312"/>
          <w:sz w:val="32"/>
        </w:rPr>
        <w:t xml:space="preserve">  </w:t>
      </w:r>
      <w:r>
        <w:rPr>
          <w:rStyle w:val="C3"/>
          <w:rFonts w:ascii="Microsoft YaHei UI" w:hAnsi="Microsoft YaHei UI"/>
          <w:sz w:val="32"/>
        </w:rPr>
        <w:t>违反本条例第十七条第二款、第三款规定，擅自挖掘城市道路的，由市容环境卫生主管部门责令限期改正，可处二千元以上二万元以下罚款；造成损失的，应当依法承担赔偿责任。</w:t>
      </w:r>
    </w:p>
    <w:p>
      <w:pPr>
        <w:pStyle w:val="P1"/>
        <w:spacing w:lineRule="exact" w:line="576"/>
        <w:ind w:firstLine="620"/>
        <w:rPr>
          <w:rStyle w:val="C3"/>
          <w:rFonts w:ascii="仿宋_GB2312" w:hAnsi="仿宋_GB2312"/>
          <w:sz w:val="32"/>
        </w:rPr>
      </w:pPr>
      <w:r>
        <w:rPr>
          <w:rStyle w:val="C3"/>
          <w:rFonts w:ascii="黑体" w:hAnsi="黑体"/>
          <w:sz w:val="32"/>
        </w:rPr>
        <w:t>第五十三条</w:t>
      </w:r>
      <w:r>
        <w:rPr>
          <w:rStyle w:val="C3"/>
          <w:rFonts w:ascii="仿宋_GB2312" w:hAnsi="仿宋_GB2312"/>
          <w:sz w:val="32"/>
        </w:rPr>
        <w:t xml:space="preserve">  </w:t>
      </w:r>
      <w:r>
        <w:rPr>
          <w:rStyle w:val="C3"/>
          <w:rFonts w:ascii="Microsoft YaHei UI" w:hAnsi="Microsoft YaHei UI"/>
          <w:sz w:val="32"/>
        </w:rPr>
        <w:t>违反本条例第十九条规定，擅自搭建设施、摆摊设点、堆放物料、兜售物品、修车洗车、生产加工、营销宣传、摆酒设宴等影响市容和环境卫生或者占用城市道路开展棋牌等娱乐活动的，由市容环境卫生主管部门责令改正或者清除；拒不改正或者清除，情节严重或者造成严重后果的，处个人五十元以上二百元以下罚款，单位五百元以上二千元以下罚款。</w:t>
      </w:r>
    </w:p>
    <w:p>
      <w:pPr>
        <w:pStyle w:val="P1"/>
        <w:spacing w:lineRule="exact" w:line="576"/>
        <w:ind w:firstLine="620"/>
        <w:rPr>
          <w:rStyle w:val="C3"/>
          <w:rFonts w:ascii="仿宋_GB2312" w:hAnsi="仿宋_GB2312"/>
          <w:sz w:val="32"/>
        </w:rPr>
      </w:pPr>
      <w:r>
        <w:rPr>
          <w:rStyle w:val="C3"/>
          <w:rFonts w:ascii="黑体" w:hAnsi="黑体"/>
          <w:sz w:val="32"/>
        </w:rPr>
        <w:t>第五十四条</w:t>
      </w:r>
      <w:r>
        <w:rPr>
          <w:rStyle w:val="C3"/>
          <w:rFonts w:ascii="仿宋_GB2312" w:hAnsi="仿宋_GB2312"/>
          <w:sz w:val="32"/>
        </w:rPr>
        <w:t xml:space="preserve">  </w:t>
      </w:r>
      <w:r>
        <w:rPr>
          <w:rStyle w:val="C3"/>
          <w:rFonts w:ascii="Microsoft YaHei UI" w:hAnsi="Microsoft YaHei UI"/>
          <w:sz w:val="32"/>
        </w:rPr>
        <w:t>违反本条例第二十五条规定，擅自设置隔离设施、接坡的，由市容环境卫生主管部门责令限期改正，可处一千元以上二万元以下罚款；造成损失的，应当依法承担赔偿责任。</w:t>
      </w:r>
    </w:p>
    <w:p>
      <w:pPr>
        <w:pStyle w:val="P1"/>
        <w:spacing w:lineRule="exact" w:line="576"/>
        <w:ind w:firstLine="620"/>
        <w:rPr>
          <w:rStyle w:val="C3"/>
          <w:rFonts w:ascii="仿宋_GB2312" w:hAnsi="仿宋_GB2312"/>
          <w:sz w:val="32"/>
        </w:rPr>
      </w:pPr>
      <w:r>
        <w:rPr>
          <w:rStyle w:val="C3"/>
          <w:rFonts w:ascii="黑体" w:hAnsi="黑体"/>
          <w:sz w:val="32"/>
        </w:rPr>
        <w:t>第五十五条</w:t>
      </w:r>
      <w:r>
        <w:rPr>
          <w:rStyle w:val="C3"/>
          <w:rFonts w:ascii="仿宋_GB2312" w:hAnsi="仿宋_GB2312"/>
          <w:sz w:val="32"/>
        </w:rPr>
        <w:t xml:space="preserve">  </w:t>
      </w:r>
      <w:r>
        <w:rPr>
          <w:rStyle w:val="C3"/>
          <w:rFonts w:ascii="Microsoft YaHei UI" w:hAnsi="Microsoft YaHei UI"/>
          <w:sz w:val="32"/>
        </w:rPr>
        <w:t>违反本条例第二十九条规定，设置户外广告不符合城市容貌标准或者户外广告设置技术规范的，由市容环境卫生主管部门责令限期改造或者拆除，逾期未改造或者拆除的，可处一千元以上一万元以下罚款。</w:t>
      </w:r>
    </w:p>
    <w:p>
      <w:pPr>
        <w:pStyle w:val="P1"/>
        <w:spacing w:lineRule="exact" w:line="576"/>
        <w:ind w:firstLine="620"/>
        <w:rPr>
          <w:rStyle w:val="C3"/>
          <w:rFonts w:ascii="仿宋_GB2312" w:hAnsi="仿宋_GB2312"/>
          <w:sz w:val="32"/>
        </w:rPr>
      </w:pPr>
      <w:r>
        <w:rPr>
          <w:rStyle w:val="C3"/>
          <w:rFonts w:ascii="黑体" w:hAnsi="黑体"/>
          <w:sz w:val="32"/>
        </w:rPr>
        <w:t>第五十六条</w:t>
      </w:r>
      <w:r>
        <w:rPr>
          <w:rStyle w:val="C3"/>
          <w:rFonts w:ascii="仿宋_GB2312" w:hAnsi="仿宋_GB2312"/>
          <w:sz w:val="32"/>
        </w:rPr>
        <w:t xml:space="preserve">  </w:t>
      </w:r>
      <w:r>
        <w:rPr>
          <w:rStyle w:val="C3"/>
          <w:rFonts w:ascii="Microsoft YaHei UI" w:hAnsi="Microsoft YaHei UI"/>
          <w:sz w:val="32"/>
        </w:rPr>
        <w:t>违反本条例第三十条规定，擅自设置大型户外广告，影响市容的，由市容环境卫生主管部门责令其停止违法行为，限期拆除，可处一千元以上一万元以下罚款。</w:t>
      </w:r>
    </w:p>
    <w:p>
      <w:pPr>
        <w:pStyle w:val="P1"/>
        <w:spacing w:lineRule="exact" w:line="576"/>
        <w:ind w:firstLine="620"/>
        <w:rPr>
          <w:rStyle w:val="C3"/>
          <w:rFonts w:ascii="仿宋_GB2312" w:hAnsi="仿宋_GB2312"/>
          <w:sz w:val="32"/>
        </w:rPr>
      </w:pPr>
      <w:r>
        <w:rPr>
          <w:rStyle w:val="C3"/>
          <w:rFonts w:ascii="黑体" w:hAnsi="黑体"/>
          <w:sz w:val="32"/>
        </w:rPr>
        <w:t>第五十七条</w:t>
      </w:r>
      <w:r>
        <w:rPr>
          <w:rStyle w:val="C3"/>
          <w:rFonts w:ascii="仿宋_GB2312" w:hAnsi="仿宋_GB2312"/>
          <w:sz w:val="32"/>
        </w:rPr>
        <w:t xml:space="preserve">  </w:t>
      </w:r>
      <w:r>
        <w:rPr>
          <w:rStyle w:val="C3"/>
          <w:rFonts w:ascii="Microsoft YaHei UI" w:hAnsi="Microsoft YaHei UI"/>
          <w:sz w:val="32"/>
        </w:rPr>
        <w:t>违反本条例第三十一条规定，未保持广告及其设施外形美观、安全牢固和亮化设施功能完备或者户外广告外型污损、图文残缺、灯光显示不完整等影响市容未及时修复、更换的，由市容环境卫生主管部门责令限期改正，逾期未改正的，可处二百元以上二千元以下罚款。</w:t>
      </w:r>
    </w:p>
    <w:p>
      <w:pPr>
        <w:pStyle w:val="P1"/>
        <w:spacing w:lineRule="exact" w:line="576"/>
        <w:ind w:firstLine="620"/>
        <w:rPr>
          <w:rStyle w:val="C3"/>
          <w:rFonts w:ascii="仿宋_GB2312" w:hAnsi="仿宋_GB2312"/>
          <w:sz w:val="32"/>
        </w:rPr>
      </w:pPr>
      <w:r>
        <w:rPr>
          <w:rStyle w:val="C3"/>
          <w:rFonts w:ascii="黑体" w:hAnsi="黑体"/>
          <w:sz w:val="32"/>
        </w:rPr>
        <w:t>第五十八条</w:t>
      </w:r>
      <w:r>
        <w:rPr>
          <w:rStyle w:val="C3"/>
          <w:rFonts w:ascii="仿宋_GB2312" w:hAnsi="仿宋_GB2312"/>
          <w:sz w:val="32"/>
        </w:rPr>
        <w:t xml:space="preserve">  </w:t>
      </w:r>
      <w:r>
        <w:rPr>
          <w:rStyle w:val="C3"/>
          <w:rFonts w:ascii="Microsoft YaHei UI" w:hAnsi="Microsoft YaHei UI"/>
          <w:sz w:val="32"/>
        </w:rPr>
        <w:t>违反本条例第三十二条规定，设置招牌不符合城市容貌标准或者相关技术规范的，由市容环境卫生主管部门责令限期改正，逾期未改正的，可处二百元以上一千元以下罚款。</w:t>
      </w:r>
    </w:p>
    <w:p>
      <w:pPr>
        <w:pStyle w:val="P1"/>
        <w:spacing w:lineRule="exact" w:line="576"/>
        <w:ind w:firstLine="620"/>
        <w:rPr>
          <w:rStyle w:val="C3"/>
          <w:rFonts w:ascii="仿宋_GB2312" w:hAnsi="仿宋_GB2312"/>
          <w:sz w:val="32"/>
        </w:rPr>
      </w:pPr>
      <w:r>
        <w:rPr>
          <w:rStyle w:val="C3"/>
          <w:rFonts w:ascii="黑体" w:hAnsi="黑体"/>
          <w:sz w:val="32"/>
        </w:rPr>
        <w:t>第五十九条</w:t>
      </w:r>
      <w:r>
        <w:rPr>
          <w:rStyle w:val="C3"/>
          <w:rFonts w:ascii="仿宋_GB2312" w:hAnsi="仿宋_GB2312"/>
          <w:sz w:val="32"/>
        </w:rPr>
        <w:t xml:space="preserve">  </w:t>
      </w:r>
      <w:r>
        <w:rPr>
          <w:rStyle w:val="C3"/>
          <w:rFonts w:ascii="Microsoft YaHei UI" w:hAnsi="Microsoft YaHei UI"/>
          <w:sz w:val="32"/>
        </w:rPr>
        <w:t>违反本条例第四十六条规定，随意倾倒、抛撒或者堆放生活垃圾的，由市容环境卫生主管部门责令改正，对个人处五十元以上二百元以下罚款，对单位处五千元以上五万元以下罚款。</w:t>
      </w:r>
    </w:p>
    <w:p>
      <w:pPr>
        <w:pStyle w:val="P1"/>
        <w:spacing w:lineRule="exact" w:line="576"/>
        <w:ind w:firstLine="620"/>
        <w:rPr>
          <w:rStyle w:val="C3"/>
          <w:rFonts w:ascii="仿宋_GB2312" w:hAnsi="仿宋_GB2312"/>
          <w:sz w:val="32"/>
        </w:rPr>
      </w:pPr>
      <w:r>
        <w:rPr>
          <w:rStyle w:val="C3"/>
          <w:rFonts w:ascii="黑体" w:hAnsi="黑体"/>
          <w:sz w:val="32"/>
        </w:rPr>
        <w:t>第六十条</w:t>
      </w:r>
      <w:r>
        <w:rPr>
          <w:rStyle w:val="C3"/>
          <w:rFonts w:ascii="仿宋_GB2312" w:hAnsi="仿宋_GB2312"/>
          <w:sz w:val="32"/>
        </w:rPr>
        <w:t xml:space="preserve">  </w:t>
      </w:r>
      <w:r>
        <w:rPr>
          <w:rStyle w:val="C3"/>
          <w:rFonts w:ascii="Microsoft YaHei UI" w:hAnsi="Microsoft YaHei UI"/>
          <w:sz w:val="32"/>
        </w:rPr>
        <w:t>市容环境卫生主管部门和其他有关部门及其工作人员玩忽职守、滥用职权、徇私舞弊或者拒不履行法定职责的，由有权机关对直接负责的主管人员和其他直接责任人员，依法给予处理；构成犯罪的，依法追究刑事责任。</w:t>
      </w:r>
    </w:p>
    <w:p>
      <w:pPr>
        <w:pStyle w:val="P1"/>
        <w:spacing w:lineRule="exact" w:line="576"/>
        <w:ind w:firstLine="620"/>
        <w:rPr>
          <w:rStyle w:val="C3"/>
          <w:rFonts w:ascii="仿宋_GB2312" w:hAnsi="仿宋_GB2312"/>
          <w:sz w:val="32"/>
        </w:rPr>
      </w:pPr>
    </w:p>
    <w:p>
      <w:pPr>
        <w:pStyle w:val="P1"/>
        <w:spacing w:lineRule="exact" w:line="576"/>
        <w:ind w:firstLine="620"/>
        <w:jc w:val="center"/>
        <w:rPr>
          <w:rStyle w:val="C3"/>
          <w:rFonts w:ascii="黑体" w:hAnsi="黑体"/>
          <w:sz w:val="32"/>
        </w:rPr>
      </w:pPr>
      <w:r>
        <w:rPr>
          <w:rStyle w:val="C3"/>
          <w:rFonts w:ascii="黑体" w:hAnsi="黑体"/>
          <w:sz w:val="32"/>
        </w:rPr>
        <w:t xml:space="preserve">第五章  附  则</w:t>
      </w:r>
    </w:p>
    <w:p>
      <w:pPr>
        <w:pStyle w:val="P1"/>
        <w:spacing w:lineRule="exact" w:line="576"/>
        <w:ind w:firstLine="620"/>
        <w:rPr>
          <w:rStyle w:val="C3"/>
          <w:rFonts w:ascii="黑体" w:hAnsi="黑体"/>
          <w:sz w:val="32"/>
        </w:rPr>
      </w:pPr>
    </w:p>
    <w:p>
      <w:pPr>
        <w:pStyle w:val="P1"/>
        <w:spacing w:lineRule="exact" w:line="576"/>
        <w:ind w:firstLine="620"/>
        <w:rPr>
          <w:rStyle w:val="C3"/>
          <w:rFonts w:ascii="仿宋_GB2312" w:hAnsi="仿宋_GB2312"/>
          <w:sz w:val="32"/>
        </w:rPr>
      </w:pPr>
      <w:r>
        <w:rPr>
          <w:rStyle w:val="C3"/>
          <w:rFonts w:ascii="黑体" w:hAnsi="黑体"/>
          <w:sz w:val="32"/>
        </w:rPr>
        <w:t>第六十一条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 xml:space="preserve"> 2019</w:t>
      </w:r>
      <w:r>
        <w:rPr>
          <w:rStyle w:val="C3"/>
          <w:rFonts w:ascii="Microsoft YaHei UI" w:hAnsi="Microsoft YaHei UI"/>
          <w:sz w:val="32"/>
        </w:rPr>
        <w:t>年</w:t>
      </w:r>
      <w:r>
        <w:rPr>
          <w:rStyle w:val="C3"/>
          <w:rFonts w:ascii="仿宋_GB2312" w:hAnsi="仿宋_GB2312"/>
          <w:sz w:val="32"/>
        </w:rPr>
        <w:t xml:space="preserve">9 </w:t>
      </w:r>
      <w:r>
        <w:rPr>
          <w:rStyle w:val="C3"/>
          <w:rFonts w:ascii="Microsoft YaHei UI" w:hAnsi="Microsoft YaHei UI"/>
          <w:sz w:val="32"/>
        </w:rPr>
        <w:t>月</w:t>
      </w:r>
      <w:r>
        <w:rPr>
          <w:rStyle w:val="C3"/>
          <w:rFonts w:ascii="仿宋_GB2312" w:hAnsi="仿宋_GB2312"/>
          <w:sz w:val="32"/>
        </w:rPr>
        <w:t xml:space="preserve"> 1</w:t>
      </w:r>
      <w:r>
        <w:rPr>
          <w:rStyle w:val="C3"/>
          <w:rFonts w:ascii="Microsoft YaHei UI" w:hAnsi="Microsoft YaHei UI"/>
          <w:sz w:val="32"/>
        </w:rPr>
        <w:t>日起施行。</w:t>
      </w:r>
    </w:p>
    <w:p>
      <w:pPr>
        <w:pStyle w:val="P1"/>
        <w:spacing w:lineRule="exact" w:line="576"/>
        <w:ind w:firstLine="620"/>
        <w:rPr>
          <w:rStyle w:val="C3"/>
          <w:rFonts w:ascii="仿宋_GB2312" w:hAnsi="仿宋_GB2312"/>
          <w:sz w:val="32"/>
        </w:rPr>
      </w:pPr>
    </w:p>
    <w:p>
      <w:pPr>
        <w:pStyle w:val="P1"/>
        <w:spacing w:lineRule="exact" w:line="576"/>
        <w:ind w:firstLine="620"/>
        <w:rPr>
          <w:rStyle w:val="C3"/>
          <w:rFonts w:ascii="仿宋_GB2312" w:hAnsi="仿宋_GB2312"/>
          <w:sz w:val="32"/>
        </w:rPr>
      </w:pPr>
    </w:p>
    <w:p>
      <w:pPr>
        <w:pStyle w:val="P1"/>
        <w:spacing w:lineRule="exact" w:line="576"/>
        <w:ind w:firstLine="620"/>
        <w:rPr>
          <w:rStyle w:val="C3"/>
          <w:rFonts w:ascii="仿宋_GB2312" w:hAnsi="仿宋_GB2312"/>
          <w:sz w:val="32"/>
        </w:rPr>
      </w:pPr>
    </w:p>
    <w:p>
      <w:pPr>
        <w:pStyle w:val="P1"/>
        <w:spacing w:lineRule="exact" w:line="576"/>
        <w:rPr>
          <w:rStyle w:val="C3"/>
          <w:rFonts w:ascii="Times New Roman" w:hAnsi="Times New Roman"/>
          <w:sz w:val="32"/>
        </w:rPr>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88" w:right="1588" w:top="2098" w:bottom="1814" w:header="1418" w:footer="510" w:gutter="0"/>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ind w:right="244"/>
      <w:jc w:val="right"/>
      <w:rPr>
        <w:rStyle w:val="C3"/>
        <w:rFonts w:ascii="宋体" w:hAnsi="宋体"/>
        <w:sz w:val="24"/>
      </w:rPr>
    </w:pPr>
    <w:r>
      <w:rPr>
        <w:rStyle w:val="C3"/>
        <w:rFonts w:ascii="宋体" w:hAnsi="宋体"/>
        <w:sz w:val="24"/>
      </w:rPr>
      <w:t xml:space="preserve">— </w:t>
    </w:r>
    <w:r>
      <w:rPr>
        <w:rStyle w:val="C3"/>
        <w:rFonts w:ascii="宋体" w:hAnsi="宋体"/>
        <w:sz w:val="24"/>
      </w:rPr>
      <w:fldChar w:fldCharType="begin"/>
    </w:r>
    <w:r>
      <w:rPr>
        <w:rStyle w:val="C3"/>
        <w:rFonts w:ascii="宋体" w:hAnsi="宋体"/>
        <w:sz w:val="24"/>
      </w:rPr>
      <w:instrText xml:space="preserve"> PAGE   \* MERGEFORMAT </w:instrText>
    </w:r>
    <w:r>
      <w:rPr>
        <w:rStyle w:val="C3"/>
        <w:rFonts w:ascii="宋体" w:hAnsi="宋体"/>
        <w:sz w:val="24"/>
      </w:rPr>
      <w:fldChar w:fldCharType="separate"/>
    </w:r>
    <w:r>
      <w:rPr>
        <w:rStyle w:val="C3"/>
        <w:rFonts w:ascii="宋体" w:hAnsi="宋体"/>
        <w:sz w:val="24"/>
      </w:rPr>
      <w:t>#</w:t>
    </w:r>
    <w:r>
      <w:rPr>
        <w:rStyle w:val="C3"/>
        <w:rFonts w:ascii="宋体" w:hAnsi="宋体"/>
        <w:sz w:val="24"/>
      </w:rPr>
      <w:fldChar w:fldCharType="end"/>
    </w:r>
    <w:r>
      <w:rPr>
        <w:rStyle w:val="C3"/>
        <w:rFonts w:ascii="宋体" w:hAnsi="宋体"/>
        <w:sz w:val="24"/>
      </w:rPr>
      <w:t xml:space="preserve"> — </w:t>
    </w:r>
  </w:p>
  <w:p>
    <w:pPr>
      <w:pStyle w:val="P3"/>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ind w:left="279"/>
      <w:rPr>
        <w:rStyle w:val="C3"/>
        <w:rFonts w:ascii="宋体" w:hAnsi="宋体"/>
        <w:sz w:val="24"/>
      </w:rPr>
    </w:pPr>
    <w:r>
      <w:rPr>
        <w:rStyle w:val="C3"/>
        <w:rFonts w:ascii="宋体" w:hAnsi="宋体"/>
        <w:sz w:val="24"/>
      </w:rPr>
      <w:t xml:space="preserve">— </w:t>
    </w:r>
    <w:r>
      <w:rPr>
        <w:rStyle w:val="C3"/>
        <w:rFonts w:ascii="宋体" w:hAnsi="宋体"/>
        <w:sz w:val="24"/>
      </w:rPr>
      <w:fldChar w:fldCharType="begin"/>
    </w:r>
    <w:r>
      <w:rPr>
        <w:rStyle w:val="C3"/>
        <w:rFonts w:ascii="宋体" w:hAnsi="宋体"/>
        <w:sz w:val="24"/>
      </w:rPr>
      <w:instrText xml:space="preserve"> PAGE   \* MERGEFORMAT </w:instrText>
    </w:r>
    <w:r>
      <w:rPr>
        <w:rStyle w:val="C3"/>
        <w:rFonts w:ascii="宋体" w:hAnsi="宋体"/>
        <w:sz w:val="24"/>
      </w:rPr>
      <w:fldChar w:fldCharType="separate"/>
    </w:r>
    <w:r>
      <w:rPr>
        <w:rStyle w:val="C3"/>
        <w:rFonts w:ascii="宋体" w:hAnsi="宋体"/>
        <w:sz w:val="24"/>
      </w:rPr>
      <w:t>#</w:t>
    </w:r>
    <w:r>
      <w:rPr>
        <w:rStyle w:val="C3"/>
        <w:rFonts w:ascii="宋体" w:hAnsi="宋体"/>
        <w:sz w:val="24"/>
      </w:rPr>
      <w:fldChar w:fldCharType="end"/>
    </w:r>
    <w:r>
      <w:rPr>
        <w:rStyle w:val="C3"/>
        <w:rFonts w:ascii="宋体" w:hAnsi="宋体"/>
        <w:sz w:val="24"/>
      </w:rPr>
      <w:t xml:space="preserve"> —</w:t>
    </w:r>
  </w:p>
  <w:p>
    <w:pPr>
      <w:pStyle w:val="P3"/>
      <w:ind w:firstLine="360" w:right="360"/>
      <w:rPr>
        <w:rStyle w:val="C3"/>
      </w:rPr>
    </w:pPr>
  </w:p>
</w:ftr>
</file>

<file path=word/numbering.xml><?xml version="1.0" encoding="utf-8"?>
<w:numbering xmlns:w="http://schemas.openxmlformats.org/wordprocessingml/2006/main">
  <w:abstractNum w:abstractNumId="0">
    <w:nsid w:val="0B184CC1"/>
    <w:multiLevelType w:val="multilevel"/>
    <w:lvl w:ilvl="0">
      <w:start w:val="1"/>
      <w:numFmt w:val="japaneseCounting"/>
      <w:suff w:val="tab"/>
      <w:lvlText w:val="%1、"/>
      <w:lvlJc w:val="left"/>
      <w:pPr>
        <w:ind w:hanging="720" w:left="1340"/>
      </w:pPr>
      <w:rPr>
        <w:rFonts w:ascii="宋体" w:hAnsi="宋体"/>
        <w:color w:val="000000"/>
      </w:rPr>
    </w:lvl>
    <w:lvl w:ilvl="1">
      <w:start w:val="1"/>
      <w:numFmt w:val="lowerLetter"/>
      <w:suff w:val="tab"/>
      <w:lvlText w:val="%2)"/>
      <w:lvlJc w:val="left"/>
      <w:pPr>
        <w:ind w:hanging="420" w:left="1460"/>
      </w:pPr>
      <w:rPr/>
    </w:lvl>
    <w:lvl w:ilvl="2">
      <w:start w:val="1"/>
      <w:numFmt w:val="lowerRoman"/>
      <w:suff w:val="tab"/>
      <w:lvlText w:val="%3."/>
      <w:lvlJc w:val="right"/>
      <w:pPr>
        <w:ind w:hanging="420" w:left="1880"/>
      </w:pPr>
      <w:rPr/>
    </w:lvl>
    <w:lvl w:ilvl="3">
      <w:start w:val="1"/>
      <w:numFmt w:val="decimal"/>
      <w:suff w:val="tab"/>
      <w:lvlText w:val="%4."/>
      <w:lvlJc w:val="left"/>
      <w:pPr>
        <w:ind w:hanging="420" w:left="2300"/>
      </w:pPr>
      <w:rPr/>
    </w:lvl>
    <w:lvl w:ilvl="4">
      <w:start w:val="1"/>
      <w:numFmt w:val="lowerLetter"/>
      <w:suff w:val="tab"/>
      <w:lvlText w:val="%5)"/>
      <w:lvlJc w:val="left"/>
      <w:pPr>
        <w:ind w:hanging="420" w:left="2720"/>
      </w:pPr>
      <w:rPr/>
    </w:lvl>
    <w:lvl w:ilvl="5">
      <w:start w:val="1"/>
      <w:numFmt w:val="lowerRoman"/>
      <w:suff w:val="tab"/>
      <w:lvlText w:val="%6."/>
      <w:lvlJc w:val="right"/>
      <w:pPr>
        <w:ind w:hanging="420" w:left="3140"/>
      </w:pPr>
      <w:rPr/>
    </w:lvl>
    <w:lvl w:ilvl="6">
      <w:start w:val="1"/>
      <w:numFmt w:val="decimal"/>
      <w:suff w:val="tab"/>
      <w:lvlText w:val="%7."/>
      <w:lvlJc w:val="left"/>
      <w:pPr>
        <w:ind w:hanging="420" w:left="3560"/>
      </w:pPr>
      <w:rPr/>
    </w:lvl>
    <w:lvl w:ilvl="7">
      <w:start w:val="1"/>
      <w:numFmt w:val="lowerLetter"/>
      <w:suff w:val="tab"/>
      <w:lvlText w:val="%8)"/>
      <w:lvlJc w:val="left"/>
      <w:pPr>
        <w:ind w:hanging="420" w:left="3980"/>
      </w:pPr>
      <w:rPr/>
    </w:lvl>
    <w:lvl w:ilvl="8">
      <w:start w:val="1"/>
      <w:numFmt w:val="lowerRoman"/>
      <w:suff w:val="tab"/>
      <w:lvlText w:val="%9."/>
      <w:lvlJc w:val="right"/>
      <w:pPr>
        <w:ind w:hanging="420" w:left="4400"/>
      </w:pPr>
      <w:rPr/>
    </w:lvl>
  </w:abstractNum>
  <w:abstractNum w:abstractNumId="1">
    <w:nsid w:val="587416C0"/>
    <w:multiLevelType w:val="multilevel"/>
    <w:lvl w:ilvl="0">
      <w:start w:val="1"/>
      <w:numFmt w:val="japaneseCounting"/>
      <w:suff w:val="tab"/>
      <w:lvlText w:val="第%1章"/>
      <w:lvlJc w:val="left"/>
      <w:pPr>
        <w:ind w:hanging="1080" w:left="1080"/>
      </w:pPr>
      <w:rPr/>
    </w:lvl>
    <w:lvl w:ilvl="1">
      <w:start w:val="1"/>
      <w:numFmt w:val="lowerLetter"/>
      <w:suff w:val="tab"/>
      <w:lvlText w:val="%2)"/>
      <w:lvlJc w:val="left"/>
      <w:pPr>
        <w:ind w:hanging="420" w:left="840"/>
      </w:pPr>
      <w:rPr/>
    </w:lvl>
    <w:lvl w:ilvl="2">
      <w:start w:val="1"/>
      <w:numFmt w:val="lowerRoman"/>
      <w:suff w:val="tab"/>
      <w:lvlText w:val="%3."/>
      <w:lvlJc w:val="right"/>
      <w:pPr>
        <w:ind w:hanging="420" w:left="1260"/>
      </w:pPr>
      <w:rPr/>
    </w:lvl>
    <w:lvl w:ilvl="3">
      <w:start w:val="1"/>
      <w:numFmt w:val="decimal"/>
      <w:suff w:val="tab"/>
      <w:lvlText w:val="%4."/>
      <w:lvlJc w:val="left"/>
      <w:pPr>
        <w:ind w:hanging="420" w:left="1680"/>
      </w:pPr>
      <w:rPr/>
    </w:lvl>
    <w:lvl w:ilvl="4">
      <w:start w:val="1"/>
      <w:numFmt w:val="lowerLetter"/>
      <w:suff w:val="tab"/>
      <w:lvlText w:val="%5)"/>
      <w:lvlJc w:val="left"/>
      <w:pPr>
        <w:ind w:hanging="420" w:left="2100"/>
      </w:pPr>
      <w:rPr/>
    </w:lvl>
    <w:lvl w:ilvl="5">
      <w:start w:val="1"/>
      <w:numFmt w:val="lowerRoman"/>
      <w:suff w:val="tab"/>
      <w:lvlText w:val="%6."/>
      <w:lvlJc w:val="right"/>
      <w:pPr>
        <w:ind w:hanging="420" w:left="2520"/>
      </w:pPr>
      <w:rPr/>
    </w:lvl>
    <w:lvl w:ilvl="6">
      <w:start w:val="1"/>
      <w:numFmt w:val="decimal"/>
      <w:suff w:val="tab"/>
      <w:lvlText w:val="%7."/>
      <w:lvlJc w:val="left"/>
      <w:pPr>
        <w:ind w:hanging="420" w:left="2940"/>
      </w:pPr>
      <w:rPr/>
    </w:lvl>
    <w:lvl w:ilvl="7">
      <w:start w:val="1"/>
      <w:numFmt w:val="lowerLetter"/>
      <w:suff w:val="tab"/>
      <w:lvlText w:val="%8)"/>
      <w:lvlJc w:val="left"/>
      <w:pPr>
        <w:ind w:hanging="420" w:left="3360"/>
      </w:pPr>
      <w:rPr/>
    </w:lvl>
    <w:lvl w:ilvl="8">
      <w:start w:val="1"/>
      <w:numFmt w:val="lowerRoman"/>
      <w:suff w:val="tab"/>
      <w:lvlText w:val="%9."/>
      <w:lvlJc w:val="right"/>
      <w:pPr>
        <w:ind w:hanging="420" w:left="3780"/>
      </w:pPr>
      <w:rPr/>
    </w:lvl>
  </w:abstractNum>
  <w:abstractNum w:abstractNumId="2">
    <w:nsid w:val="62186D03"/>
    <w:multiLevelType w:val="multilevel"/>
    <w:lvl w:ilvl="0">
      <w:start w:val="1"/>
      <w:numFmt w:val="japaneseCounting"/>
      <w:suff w:val="tab"/>
      <w:lvlText w:val="第%1章"/>
      <w:lvlJc w:val="left"/>
      <w:pPr>
        <w:ind w:hanging="1080" w:left="1880"/>
      </w:pPr>
      <w:rPr/>
    </w:lvl>
    <w:lvl w:ilvl="1">
      <w:start w:val="1"/>
      <w:numFmt w:val="lowerLetter"/>
      <w:suff w:val="tab"/>
      <w:lvlText w:val="%2)"/>
      <w:lvlJc w:val="left"/>
      <w:pPr>
        <w:ind w:hanging="420" w:left="1640"/>
      </w:pPr>
      <w:rPr/>
    </w:lvl>
    <w:lvl w:ilvl="2">
      <w:start w:val="1"/>
      <w:numFmt w:val="lowerRoman"/>
      <w:suff w:val="tab"/>
      <w:lvlText w:val="%3."/>
      <w:lvlJc w:val="right"/>
      <w:pPr>
        <w:ind w:hanging="420" w:left="2060"/>
      </w:pPr>
      <w:rPr/>
    </w:lvl>
    <w:lvl w:ilvl="3">
      <w:start w:val="1"/>
      <w:numFmt w:val="decimal"/>
      <w:suff w:val="tab"/>
      <w:lvlText w:val="%4."/>
      <w:lvlJc w:val="left"/>
      <w:pPr>
        <w:ind w:hanging="420" w:left="2480"/>
      </w:pPr>
      <w:rPr/>
    </w:lvl>
    <w:lvl w:ilvl="4">
      <w:start w:val="1"/>
      <w:numFmt w:val="lowerLetter"/>
      <w:suff w:val="tab"/>
      <w:lvlText w:val="%5)"/>
      <w:lvlJc w:val="left"/>
      <w:pPr>
        <w:ind w:hanging="420" w:left="2900"/>
      </w:pPr>
      <w:rPr/>
    </w:lvl>
    <w:lvl w:ilvl="5">
      <w:start w:val="1"/>
      <w:numFmt w:val="lowerRoman"/>
      <w:suff w:val="tab"/>
      <w:lvlText w:val="%6."/>
      <w:lvlJc w:val="right"/>
      <w:pPr>
        <w:ind w:hanging="420" w:left="3320"/>
      </w:pPr>
      <w:rPr/>
    </w:lvl>
    <w:lvl w:ilvl="6">
      <w:start w:val="1"/>
      <w:numFmt w:val="decimal"/>
      <w:suff w:val="tab"/>
      <w:lvlText w:val="%7."/>
      <w:lvlJc w:val="left"/>
      <w:pPr>
        <w:ind w:hanging="420" w:left="3740"/>
      </w:pPr>
      <w:rPr/>
    </w:lvl>
    <w:lvl w:ilvl="7">
      <w:start w:val="1"/>
      <w:numFmt w:val="lowerLetter"/>
      <w:suff w:val="tab"/>
      <w:lvlText w:val="%8)"/>
      <w:lvlJc w:val="left"/>
      <w:pPr>
        <w:ind w:hanging="420" w:left="4160"/>
      </w:pPr>
      <w:rPr/>
    </w:lvl>
    <w:lvl w:ilvl="8">
      <w:start w:val="1"/>
      <w:numFmt w:val="lowerRoman"/>
      <w:suff w:val="tab"/>
      <w:lvlText w:val="%9."/>
      <w:lvlJc w:val="right"/>
      <w:pPr>
        <w:ind w:hanging="420" w:left="4580"/>
      </w:pPr>
      <w:rPr/>
    </w:lvl>
  </w:abstractNum>
  <w:abstractNum w:abstractNumId="3">
    <w:nsid w:val="6623079F"/>
    <w:multiLevelType w:val="multilevel"/>
    <w:lvl w:ilvl="0">
      <w:start w:val="1"/>
      <w:numFmt w:val="japaneseCounting"/>
      <w:suff w:val="tab"/>
      <w:lvlText w:val="第%1节"/>
      <w:lvlJc w:val="left"/>
      <w:pPr>
        <w:ind w:hanging="1260" w:left="1880"/>
      </w:pPr>
      <w:rPr/>
    </w:lvl>
    <w:lvl w:ilvl="1">
      <w:start w:val="1"/>
      <w:numFmt w:val="lowerLetter"/>
      <w:suff w:val="tab"/>
      <w:lvlText w:val="%2)"/>
      <w:lvlJc w:val="left"/>
      <w:pPr>
        <w:ind w:hanging="420" w:left="1460"/>
      </w:pPr>
      <w:rPr/>
    </w:lvl>
    <w:lvl w:ilvl="2">
      <w:start w:val="1"/>
      <w:numFmt w:val="lowerRoman"/>
      <w:suff w:val="tab"/>
      <w:lvlText w:val="%3."/>
      <w:lvlJc w:val="right"/>
      <w:pPr>
        <w:ind w:hanging="420" w:left="1880"/>
      </w:pPr>
      <w:rPr/>
    </w:lvl>
    <w:lvl w:ilvl="3">
      <w:start w:val="1"/>
      <w:numFmt w:val="decimal"/>
      <w:suff w:val="tab"/>
      <w:lvlText w:val="%4."/>
      <w:lvlJc w:val="left"/>
      <w:pPr>
        <w:ind w:hanging="420" w:left="2300"/>
      </w:pPr>
      <w:rPr/>
    </w:lvl>
    <w:lvl w:ilvl="4">
      <w:start w:val="1"/>
      <w:numFmt w:val="lowerLetter"/>
      <w:suff w:val="tab"/>
      <w:lvlText w:val="%5)"/>
      <w:lvlJc w:val="left"/>
      <w:pPr>
        <w:ind w:hanging="420" w:left="2720"/>
      </w:pPr>
      <w:rPr/>
    </w:lvl>
    <w:lvl w:ilvl="5">
      <w:start w:val="1"/>
      <w:numFmt w:val="lowerRoman"/>
      <w:suff w:val="tab"/>
      <w:lvlText w:val="%6."/>
      <w:lvlJc w:val="right"/>
      <w:pPr>
        <w:ind w:hanging="420" w:left="3140"/>
      </w:pPr>
      <w:rPr/>
    </w:lvl>
    <w:lvl w:ilvl="6">
      <w:start w:val="1"/>
      <w:numFmt w:val="decimal"/>
      <w:suff w:val="tab"/>
      <w:lvlText w:val="%7."/>
      <w:lvlJc w:val="left"/>
      <w:pPr>
        <w:ind w:hanging="420" w:left="3560"/>
      </w:pPr>
      <w:rPr/>
    </w:lvl>
    <w:lvl w:ilvl="7">
      <w:start w:val="1"/>
      <w:numFmt w:val="lowerLetter"/>
      <w:suff w:val="tab"/>
      <w:lvlText w:val="%8)"/>
      <w:lvlJc w:val="left"/>
      <w:pPr>
        <w:ind w:hanging="420" w:left="3980"/>
      </w:pPr>
      <w:rPr/>
    </w:lvl>
    <w:lvl w:ilvl="8">
      <w:start w:val="1"/>
      <w:numFmt w:val="lowerRoman"/>
      <w:suff w:val="tab"/>
      <w:lvlText w:val="%9."/>
      <w:lvlJc w:val="right"/>
      <w:pPr>
        <w:ind w:hanging="420" w:left="4400"/>
      </w:pPr>
      <w:rPr/>
    </w:lvl>
  </w:abstractNum>
  <w:abstractNum w:abstractNumId="4">
    <w:nsid w:val="799F1653"/>
    <w:multiLevelType w:val="multilevel"/>
    <w:lvl w:ilvl="0">
      <w:start w:val="1"/>
      <w:numFmt w:val="japaneseCounting"/>
      <w:suff w:val="tab"/>
      <w:lvlText w:val="第%1节"/>
      <w:lvlJc w:val="left"/>
      <w:pPr>
        <w:ind w:hanging="1155" w:left="1775"/>
      </w:pPr>
      <w:rPr/>
    </w:lvl>
    <w:lvl w:ilvl="1">
      <w:start w:val="1"/>
      <w:numFmt w:val="lowerLetter"/>
      <w:suff w:val="tab"/>
      <w:lvlText w:val="%2)"/>
      <w:lvlJc w:val="left"/>
      <w:pPr>
        <w:ind w:hanging="420" w:left="1460"/>
      </w:pPr>
      <w:rPr/>
    </w:lvl>
    <w:lvl w:ilvl="2">
      <w:start w:val="1"/>
      <w:numFmt w:val="lowerRoman"/>
      <w:suff w:val="tab"/>
      <w:lvlText w:val="%3."/>
      <w:lvlJc w:val="right"/>
      <w:pPr>
        <w:ind w:hanging="420" w:left="1880"/>
      </w:pPr>
      <w:rPr/>
    </w:lvl>
    <w:lvl w:ilvl="3">
      <w:start w:val="1"/>
      <w:numFmt w:val="decimal"/>
      <w:suff w:val="tab"/>
      <w:lvlText w:val="%4."/>
      <w:lvlJc w:val="left"/>
      <w:pPr>
        <w:ind w:hanging="420" w:left="2300"/>
      </w:pPr>
      <w:rPr/>
    </w:lvl>
    <w:lvl w:ilvl="4">
      <w:start w:val="1"/>
      <w:numFmt w:val="lowerLetter"/>
      <w:suff w:val="tab"/>
      <w:lvlText w:val="%5)"/>
      <w:lvlJc w:val="left"/>
      <w:pPr>
        <w:ind w:hanging="420" w:left="2720"/>
      </w:pPr>
      <w:rPr/>
    </w:lvl>
    <w:lvl w:ilvl="5">
      <w:start w:val="1"/>
      <w:numFmt w:val="lowerRoman"/>
      <w:suff w:val="tab"/>
      <w:lvlText w:val="%6."/>
      <w:lvlJc w:val="right"/>
      <w:pPr>
        <w:ind w:hanging="420" w:left="3140"/>
      </w:pPr>
      <w:rPr/>
    </w:lvl>
    <w:lvl w:ilvl="6">
      <w:start w:val="1"/>
      <w:numFmt w:val="decimal"/>
      <w:suff w:val="tab"/>
      <w:lvlText w:val="%7."/>
      <w:lvlJc w:val="left"/>
      <w:pPr>
        <w:ind w:hanging="420" w:left="3560"/>
      </w:pPr>
      <w:rPr/>
    </w:lvl>
    <w:lvl w:ilvl="7">
      <w:start w:val="1"/>
      <w:numFmt w:val="lowerLetter"/>
      <w:suff w:val="tab"/>
      <w:lvlText w:val="%8)"/>
      <w:lvlJc w:val="left"/>
      <w:pPr>
        <w:ind w:hanging="420" w:left="3980"/>
      </w:pPr>
      <w:rPr/>
    </w:lvl>
    <w:lvl w:ilvl="8">
      <w:start w:val="1"/>
      <w:numFmt w:val="lowerRoman"/>
      <w:suff w:val="tab"/>
      <w:lvlText w:val="%9."/>
      <w:lvlJc w:val="right"/>
      <w:pPr>
        <w:ind w:hanging="420" w:left="4400"/>
      </w:pPr>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Calibri" w:hAnsi="Calibri"/>
      <w:sz w:val="21"/>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5"/>
    <w:pPr>
      <w:tabs>
        <w:tab w:val="center" w:pos="4153" w:leader="none"/>
        <w:tab w:val="right" w:pos="8306" w:leader="none"/>
      </w:tabs>
      <w:jc w:val="left"/>
    </w:pPr>
    <w:rPr>
      <w:sz w:val="18"/>
    </w:rPr>
  </w:style>
  <w:style w:type="paragraph" w:styleId="P4">
    <w:name w:val="标题"/>
    <w:basedOn w:val="P1"/>
    <w:next w:val="P1"/>
    <w:link w:val="C6"/>
    <w:qFormat/>
    <w:pPr>
      <w:spacing w:lineRule="exact" w:line="580"/>
      <w:jc w:val="center"/>
      <w:outlineLvl w:val="0"/>
    </w:pPr>
    <w:rPr>
      <w:rFonts w:ascii="宋体" w:hAnsi="宋体"/>
      <w:sz w:val="44"/>
    </w:rPr>
  </w:style>
  <w:style w:type="paragraph" w:styleId="P5">
    <w:name w:val="p0"/>
    <w:basedOn w:val="P1"/>
    <w:next w:val="P5"/>
    <w:pPr>
      <w:widowControl w:val="1"/>
      <w:spacing w:lineRule="atLeast" w:line="365"/>
      <w:ind w:left="1"/>
    </w:pPr>
    <w:rPr>
      <w:rFonts w:ascii="Times New Roman" w:hAnsi="Times New Roman"/>
      <w:sz w:val="20"/>
    </w:rPr>
  </w:style>
  <w:style w:type="paragraph" w:styleId="P6">
    <w:name w:val="普通(网站)"/>
    <w:basedOn w:val="P1"/>
    <w:next w:val="P6"/>
    <w:pPr>
      <w:widowControl w:val="1"/>
      <w:spacing w:before="100" w:after="100" w:beforeAutospacing="1" w:afterAutospacing="1"/>
      <w:jc w:val="left"/>
    </w:pPr>
    <w:rPr>
      <w:rFonts w:ascii="宋体" w:hAnsi="宋体"/>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字符"/>
    <w:link w:val="P2"/>
    <w:rPr>
      <w:sz w:val="18"/>
    </w:rPr>
  </w:style>
  <w:style w:type="character" w:styleId="C5">
    <w:name w:val="页脚 字符"/>
    <w:link w:val="P3"/>
    <w:rPr>
      <w:sz w:val="18"/>
    </w:rPr>
  </w:style>
  <w:style w:type="character" w:styleId="C6">
    <w:name w:val="标题 Char"/>
    <w:link w:val="P4"/>
    <w:rPr>
      <w:rFonts w:ascii="宋体" w:hAnsi="宋体"/>
      <w:sz w:val="44"/>
    </w:rPr>
  </w:style>
  <w:style w:type="character" w:styleId="C7">
    <w:name w:val="页脚 Char"/>
    <w:rPr/>
  </w:style>
  <w:style w:type="character" w:styleId="C8">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2019-08-12T02:13:00Z</dcterms:created>
  <cp:lastModifiedBy>f1TZOF\f1TZOF-</cp:lastModifiedBy>
  <cp:lastPrinted>2017-10-09T08:18:00Z</cp:lastPrinted>
  <dcterms:modified xsi:type="dcterms:W3CDTF">2024-08-28T01:36:25Z</dcterms:modified>
  <cp:revision>22</cp:revision>
  <dc:title>关于《广安市集中式饮用水安全管理条例</dc:title>
</cp:coreProperties>
</file>