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rPr>
          <w:rFonts w:hint="eastAsia" w:ascii="方正小标宋简体" w:hAnsi="方正小标宋简体" w:eastAsia="方正小标宋简体" w:cs="方正小标宋简体"/>
          <w:color w:val="000000"/>
          <w:sz w:val="44"/>
          <w:szCs w:val="44"/>
        </w:rPr>
      </w:pPr>
      <w:bookmarkStart w:id="0" w:name="_GoBack"/>
      <w:r>
        <w:rPr>
          <w:rFonts w:hint="eastAsia" w:ascii="方正小标宋简体" w:hAnsi="方正小标宋简体" w:eastAsia="方正小标宋简体" w:cs="方正小标宋简体"/>
          <w:color w:val="000000"/>
          <w:sz w:val="44"/>
          <w:szCs w:val="44"/>
        </w:rPr>
        <w:t>海南省人民代表大会常务委员会</w:t>
      </w:r>
    </w:p>
    <w:p>
      <w:pPr>
        <w:widowControl/>
        <w:snapToGrid w:val="0"/>
        <w:spacing w:line="560" w:lineRule="exact"/>
        <w:jc w:val="center"/>
        <w:rPr>
          <w:rFonts w:hint="eastAsia"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关于将</w:t>
      </w:r>
      <w:r>
        <w:rPr>
          <w:rFonts w:hint="eastAsia" w:eastAsia="方正小标宋简体"/>
          <w:color w:val="000000"/>
          <w:sz w:val="44"/>
          <w:szCs w:val="44"/>
        </w:rPr>
        <w:t>旅行社设立审批等</w:t>
      </w:r>
      <w:r>
        <w:rPr>
          <w:rFonts w:hint="eastAsia" w:ascii="方正小标宋简体" w:hAnsi="方正小标宋简体" w:eastAsia="方正小标宋简体" w:cs="方正小标宋简体"/>
          <w:color w:val="000000"/>
          <w:sz w:val="44"/>
          <w:szCs w:val="44"/>
        </w:rPr>
        <w:t>省级管理权限调整由海南自由贸易港重点园区管理机构在重点园区范围内实施的决定</w:t>
      </w:r>
    </w:p>
    <w:bookmarkEnd w:id="0"/>
    <w:p>
      <w:pPr>
        <w:autoSpaceDE w:val="0"/>
        <w:spacing w:line="560" w:lineRule="exact"/>
        <w:jc w:val="center"/>
        <w:rPr>
          <w:rFonts w:hint="eastAsia" w:ascii="楷体_GB2312" w:hAnsi="楷体_GB2312" w:eastAsia="楷体_GB2312" w:cs="楷体_GB2312"/>
          <w:bCs/>
          <w:sz w:val="32"/>
          <w:szCs w:val="32"/>
        </w:rPr>
      </w:pPr>
    </w:p>
    <w:p>
      <w:pPr>
        <w:autoSpaceDE w:val="0"/>
        <w:spacing w:line="560" w:lineRule="exact"/>
        <w:jc w:val="center"/>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w:t>
      </w:r>
      <w:r>
        <w:rPr>
          <w:rFonts w:eastAsia="楷体_GB2312"/>
          <w:bCs/>
          <w:sz w:val="32"/>
          <w:szCs w:val="32"/>
        </w:rPr>
        <w:t>202</w:t>
      </w:r>
      <w:r>
        <w:rPr>
          <w:rFonts w:hint="eastAsia" w:eastAsia="楷体_GB2312"/>
          <w:bCs/>
          <w:sz w:val="32"/>
          <w:szCs w:val="32"/>
        </w:rPr>
        <w:t>1</w:t>
      </w:r>
      <w:r>
        <w:rPr>
          <w:rFonts w:eastAsia="楷体_GB2312"/>
          <w:bCs/>
          <w:sz w:val="32"/>
          <w:szCs w:val="32"/>
        </w:rPr>
        <w:t>年</w:t>
      </w:r>
      <w:r>
        <w:rPr>
          <w:rFonts w:hint="eastAsia" w:eastAsia="楷体_GB2312"/>
          <w:bCs/>
          <w:sz w:val="32"/>
          <w:szCs w:val="32"/>
        </w:rPr>
        <w:t>7</w:t>
      </w:r>
      <w:r>
        <w:rPr>
          <w:rFonts w:eastAsia="楷体_GB2312"/>
          <w:bCs/>
          <w:sz w:val="32"/>
          <w:szCs w:val="32"/>
        </w:rPr>
        <w:t>月</w:t>
      </w:r>
      <w:r>
        <w:rPr>
          <w:rFonts w:hint="eastAsia" w:eastAsia="楷体_GB2312"/>
          <w:bCs/>
          <w:sz w:val="32"/>
          <w:szCs w:val="32"/>
        </w:rPr>
        <w:t>27</w:t>
      </w:r>
      <w:r>
        <w:rPr>
          <w:rFonts w:eastAsia="楷体_GB2312"/>
          <w:bCs/>
          <w:sz w:val="32"/>
          <w:szCs w:val="32"/>
        </w:rPr>
        <w:t>日</w:t>
      </w:r>
      <w:r>
        <w:rPr>
          <w:rFonts w:hint="eastAsia" w:ascii="楷体_GB2312" w:hAnsi="楷体_GB2312" w:eastAsia="楷体_GB2312" w:cs="楷体_GB2312"/>
          <w:bCs/>
          <w:sz w:val="32"/>
          <w:szCs w:val="32"/>
        </w:rPr>
        <w:t>海南省第六届人民代表大会</w:t>
      </w:r>
    </w:p>
    <w:p>
      <w:pPr>
        <w:autoSpaceDE w:val="0"/>
        <w:spacing w:line="560" w:lineRule="exact"/>
        <w:jc w:val="center"/>
        <w:rPr>
          <w:rFonts w:ascii="仿宋_GB2312" w:hAnsi="仿宋_GB2312" w:eastAsia="仿宋_GB2312"/>
          <w:sz w:val="32"/>
          <w:szCs w:val="32"/>
        </w:rPr>
      </w:pPr>
      <w:r>
        <w:rPr>
          <w:rFonts w:hint="eastAsia" w:ascii="楷体_GB2312" w:hAnsi="楷体_GB2312" w:eastAsia="楷体_GB2312" w:cs="楷体_GB2312"/>
          <w:bCs/>
          <w:sz w:val="32"/>
          <w:szCs w:val="32"/>
        </w:rPr>
        <w:t>常务委员会第二十九次会议通过）</w:t>
      </w:r>
    </w:p>
    <w:p>
      <w:pPr>
        <w:widowControl/>
        <w:snapToGrid w:val="0"/>
        <w:spacing w:line="560" w:lineRule="exact"/>
        <w:ind w:firstLine="420" w:firstLineChars="200"/>
        <w:rPr>
          <w:rFonts w:hint="eastAsia" w:ascii="仿宋_GB2312" w:eastAsia="仿宋_GB2312"/>
          <w:color w:val="000000"/>
        </w:rPr>
      </w:pPr>
    </w:p>
    <w:p>
      <w:pPr>
        <w:widowControl/>
        <w:adjustRightInd w:val="0"/>
        <w:snapToGrid w:val="0"/>
        <w:spacing w:line="600" w:lineRule="exact"/>
        <w:ind w:firstLine="640" w:firstLineChars="200"/>
        <w:rPr>
          <w:rFonts w:eastAsia="仿宋_GB2312"/>
          <w:color w:val="000000"/>
          <w:sz w:val="32"/>
          <w:szCs w:val="32"/>
          <w:shd w:val="clear" w:color="auto" w:fill="FFFFFF"/>
        </w:rPr>
      </w:pPr>
      <w:r>
        <w:rPr>
          <w:rFonts w:hint="eastAsia" w:ascii="仿宋_GB2312" w:hAnsi="仿宋" w:eastAsia="仿宋_GB2312" w:cs="仿宋"/>
          <w:color w:val="000000"/>
          <w:sz w:val="32"/>
          <w:szCs w:val="32"/>
          <w:shd w:val="clear" w:color="auto" w:fill="FFFFFF"/>
        </w:rPr>
        <w:t>为</w:t>
      </w:r>
      <w:r>
        <w:rPr>
          <w:rFonts w:hint="eastAsia" w:ascii="仿宋_GB2312" w:hAnsi="仿宋" w:eastAsia="仿宋_GB2312" w:cs="仿宋"/>
          <w:color w:val="000000"/>
          <w:sz w:val="32"/>
          <w:szCs w:val="32"/>
        </w:rPr>
        <w:t>营造法治化、国际化、便利化的营商环境，促进</w:t>
      </w:r>
      <w:r>
        <w:rPr>
          <w:rFonts w:eastAsia="仿宋_GB2312"/>
          <w:color w:val="000000"/>
          <w:sz w:val="32"/>
          <w:szCs w:val="32"/>
        </w:rPr>
        <w:t>海南自由贸易港重点园区开发建设，</w:t>
      </w:r>
      <w:r>
        <w:rPr>
          <w:rFonts w:eastAsia="仿宋_GB2312"/>
          <w:sz w:val="32"/>
          <w:szCs w:val="32"/>
        </w:rPr>
        <w:t>赋予重点园区更大的自主发展权</w:t>
      </w:r>
      <w:r>
        <w:rPr>
          <w:rFonts w:eastAsia="仿宋_GB2312"/>
          <w:color w:val="000000"/>
          <w:sz w:val="32"/>
          <w:szCs w:val="32"/>
        </w:rPr>
        <w:t>，</w:t>
      </w:r>
      <w:r>
        <w:rPr>
          <w:rFonts w:eastAsia="仿宋_GB2312"/>
          <w:color w:val="000000"/>
          <w:sz w:val="32"/>
          <w:szCs w:val="32"/>
          <w:shd w:val="clear" w:color="auto" w:fill="FFFFFF"/>
        </w:rPr>
        <w:t>根据有关法律法规和《海南省人民代表大会常务委员会关于海南自由贸易港洋浦经济开发区等重点园区管理体制的决定》，结合海南自由贸易港建设实际，海南省人民代表大会常务委员会决定将17项省级管理权限调整由</w:t>
      </w:r>
      <w:r>
        <w:rPr>
          <w:rFonts w:eastAsia="仿宋_GB2312"/>
          <w:color w:val="000000"/>
          <w:sz w:val="32"/>
          <w:szCs w:val="32"/>
        </w:rPr>
        <w:t>相关重点园区管理机构在重点园区范围内实施。对已调整由市、县、自治县人民政府实施的有关省级管理权限，市、县、自治县人民政府在重点园区范围内不再实施。</w:t>
      </w:r>
    </w:p>
    <w:p>
      <w:pPr>
        <w:widowControl/>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原实施机关应当加强对重点园区管理机构的业务培训指导，强化事中事后监管，切实做到放管结合；承接的重点园区管理机构应当周密组织，落实责任，建立承接管理权限的有效机制，做到规范有序，确保严格依法行使职权。原实施机关应当适时对</w:t>
      </w:r>
      <w:r>
        <w:rPr>
          <w:rFonts w:hint="eastAsia" w:ascii="仿宋_GB2312" w:hAnsi="仿宋_GB2312" w:eastAsia="仿宋_GB2312" w:cs="仿宋_GB2312"/>
          <w:color w:val="000000"/>
          <w:sz w:val="32"/>
          <w:szCs w:val="32"/>
        </w:rPr>
        <w:t>调整</w:t>
      </w:r>
      <w:r>
        <w:rPr>
          <w:rFonts w:hint="eastAsia" w:ascii="仿宋_GB2312" w:hAnsi="仿宋" w:eastAsia="仿宋_GB2312" w:cs="仿宋"/>
          <w:color w:val="000000"/>
          <w:sz w:val="32"/>
          <w:szCs w:val="32"/>
        </w:rPr>
        <w:t>实施事项进行评估，对实践证明可行的，继续加强事中事后监管；经评估施行效果不好的，及时按照法定程序收回相关管理权限。</w:t>
      </w:r>
    </w:p>
    <w:p>
      <w:pPr>
        <w:snapToGrid w:val="0"/>
        <w:spacing w:line="560" w:lineRule="exact"/>
        <w:ind w:right="-733" w:rightChars="-349" w:firstLine="640" w:firstLineChars="200"/>
        <w:rPr>
          <w:rFonts w:eastAsia="仿宋_GB2312"/>
          <w:color w:val="000000"/>
          <w:sz w:val="32"/>
          <w:szCs w:val="32"/>
        </w:rPr>
      </w:pPr>
      <w:r>
        <w:rPr>
          <w:rFonts w:eastAsia="仿宋_GB2312"/>
          <w:color w:val="000000"/>
          <w:sz w:val="32"/>
          <w:szCs w:val="32"/>
        </w:rPr>
        <w:t>本决定自公布之日起施行。</w:t>
      </w:r>
    </w:p>
    <w:p>
      <w:pPr>
        <w:snapToGrid w:val="0"/>
        <w:spacing w:line="560" w:lineRule="exact"/>
        <w:ind w:right="-733" w:rightChars="-349" w:firstLine="640" w:firstLineChars="200"/>
        <w:rPr>
          <w:rFonts w:eastAsia="仿宋_GB2312"/>
          <w:color w:val="000000"/>
          <w:sz w:val="32"/>
          <w:szCs w:val="32"/>
        </w:rPr>
      </w:pPr>
    </w:p>
    <w:p>
      <w:pPr>
        <w:snapToGrid w:val="0"/>
        <w:spacing w:line="560" w:lineRule="exact"/>
        <w:ind w:firstLine="640" w:firstLineChars="200"/>
        <w:rPr>
          <w:rFonts w:eastAsia="仿宋_GB2312"/>
          <w:color w:val="000000"/>
          <w:sz w:val="32"/>
          <w:szCs w:val="32"/>
        </w:rPr>
      </w:pPr>
      <w:r>
        <w:rPr>
          <w:rFonts w:eastAsia="仿宋_GB2312"/>
          <w:color w:val="000000"/>
          <w:sz w:val="32"/>
          <w:szCs w:val="32"/>
        </w:rPr>
        <w:t>附件：调整由海南自由贸易港重点园区管理机构在重点园区范围内实施的17项省级管理权限目录</w:t>
      </w: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snapToGrid w:val="0"/>
        <w:spacing w:after="792" w:afterLines="250" w:line="560" w:lineRule="exact"/>
        <w:ind w:right="-733" w:rightChars="-349"/>
        <w:rPr>
          <w:rFonts w:hint="eastAsia" w:ascii="黑体" w:hAnsi="黑体" w:eastAsia="黑体" w:cs="黑体"/>
          <w:color w:val="000000"/>
          <w:sz w:val="32"/>
          <w:szCs w:val="32"/>
        </w:rPr>
      </w:pPr>
    </w:p>
    <w:p>
      <w:pPr>
        <w:widowControl/>
        <w:adjustRightInd w:val="0"/>
        <w:snapToGrid w:val="0"/>
        <w:spacing w:line="600" w:lineRule="exact"/>
        <w:rPr>
          <w:rFonts w:hint="eastAsia" w:ascii="黑体" w:hAnsi="黑体" w:eastAsia="黑体" w:cs="黑体"/>
          <w:color w:val="000000"/>
          <w:sz w:val="32"/>
          <w:szCs w:val="32"/>
        </w:rPr>
      </w:pPr>
    </w:p>
    <w:p>
      <w:pPr>
        <w:widowControl/>
        <w:adjustRightInd w:val="0"/>
        <w:snapToGrid w:val="0"/>
        <w:spacing w:line="600" w:lineRule="exact"/>
        <w:rPr>
          <w:rFonts w:hint="eastAsia" w:ascii="黑体" w:hAnsi="黑体" w:eastAsia="黑体" w:cs="黑体"/>
          <w:color w:val="000000"/>
          <w:sz w:val="32"/>
          <w:szCs w:val="32"/>
        </w:rPr>
      </w:pPr>
      <w:r>
        <w:rPr>
          <w:rFonts w:hint="eastAsia" w:ascii="黑体" w:hAnsi="黑体" w:eastAsia="黑体" w:cs="黑体"/>
          <w:color w:val="000000"/>
          <w:sz w:val="32"/>
          <w:szCs w:val="32"/>
        </w:rPr>
        <w:t>附件</w:t>
      </w:r>
    </w:p>
    <w:p>
      <w:pPr>
        <w:widowControl/>
        <w:adjustRightInd w:val="0"/>
        <w:snapToGrid w:val="0"/>
        <w:spacing w:line="600" w:lineRule="exact"/>
        <w:jc w:val="center"/>
        <w:rPr>
          <w:rFonts w:hint="eastAsia" w:ascii="方正小标宋简体" w:hAnsi="方正小标宋简体" w:eastAsia="方正小标宋简体" w:cs="方正小标宋简体"/>
          <w:color w:val="000000"/>
          <w:spacing w:val="-11"/>
          <w:sz w:val="36"/>
          <w:szCs w:val="36"/>
        </w:rPr>
      </w:pPr>
    </w:p>
    <w:p>
      <w:pPr>
        <w:widowControl/>
        <w:adjustRightInd w:val="0"/>
        <w:snapToGrid w:val="0"/>
        <w:spacing w:line="600" w:lineRule="exact"/>
        <w:jc w:val="center"/>
        <w:rPr>
          <w:rFonts w:hint="eastAsia" w:ascii="方正小标宋简体" w:hAnsi="方正小标宋简体" w:eastAsia="方正小标宋简体" w:cs="方正小标宋简体"/>
          <w:color w:val="000000"/>
          <w:spacing w:val="-11"/>
          <w:sz w:val="36"/>
          <w:szCs w:val="36"/>
        </w:rPr>
      </w:pPr>
      <w:r>
        <w:rPr>
          <w:rFonts w:hint="eastAsia" w:ascii="方正小标宋简体" w:hAnsi="方正小标宋简体" w:eastAsia="方正小标宋简体" w:cs="方正小标宋简体"/>
          <w:color w:val="000000"/>
          <w:spacing w:val="-11"/>
          <w:sz w:val="36"/>
          <w:szCs w:val="36"/>
        </w:rPr>
        <w:t>调整由海南自由贸易港重点园区管理机构在重点园区</w:t>
      </w:r>
    </w:p>
    <w:p>
      <w:pPr>
        <w:widowControl/>
        <w:adjustRightInd w:val="0"/>
        <w:snapToGrid w:val="0"/>
        <w:spacing w:line="600" w:lineRule="exact"/>
        <w:jc w:val="center"/>
        <w:rPr>
          <w:rFonts w:hint="eastAsia" w:ascii="方正小标宋简体" w:hAnsi="方正小标宋简体" w:eastAsia="方正小标宋简体" w:cs="方正小标宋简体"/>
          <w:color w:val="000000"/>
          <w:spacing w:val="-11"/>
          <w:sz w:val="36"/>
          <w:szCs w:val="36"/>
        </w:rPr>
      </w:pPr>
      <w:r>
        <w:rPr>
          <w:rFonts w:hint="eastAsia" w:ascii="方正小标宋简体" w:hAnsi="方正小标宋简体" w:eastAsia="方正小标宋简体" w:cs="方正小标宋简体"/>
          <w:color w:val="000000"/>
          <w:spacing w:val="-11"/>
          <w:sz w:val="36"/>
          <w:szCs w:val="36"/>
        </w:rPr>
        <w:t>范围内实施的</w:t>
      </w:r>
      <w:r>
        <w:rPr>
          <w:rFonts w:hint="eastAsia" w:eastAsia="黑体"/>
          <w:color w:val="000000"/>
          <w:spacing w:val="-11"/>
          <w:sz w:val="36"/>
          <w:szCs w:val="36"/>
        </w:rPr>
        <w:t>17</w:t>
      </w:r>
      <w:r>
        <w:rPr>
          <w:rFonts w:hint="eastAsia" w:ascii="黑体" w:hAnsi="黑体" w:eastAsia="黑体" w:cs="黑体"/>
          <w:color w:val="000000"/>
          <w:spacing w:val="-11"/>
          <w:sz w:val="36"/>
          <w:szCs w:val="36"/>
        </w:rPr>
        <w:t>项</w:t>
      </w:r>
      <w:r>
        <w:rPr>
          <w:rFonts w:hint="eastAsia" w:ascii="方正小标宋简体" w:hAnsi="方正小标宋简体" w:eastAsia="方正小标宋简体" w:cs="方正小标宋简体"/>
          <w:color w:val="000000"/>
          <w:spacing w:val="-11"/>
          <w:sz w:val="36"/>
          <w:szCs w:val="36"/>
        </w:rPr>
        <w:t>省级管理权限目录</w:t>
      </w:r>
    </w:p>
    <w:tbl>
      <w:tblPr>
        <w:tblStyle w:val="2"/>
        <w:tblW w:w="97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
      <w:tblGrid>
        <w:gridCol w:w="680"/>
        <w:gridCol w:w="3812"/>
        <w:gridCol w:w="1633"/>
        <w:gridCol w:w="2400"/>
        <w:gridCol w:w="11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851" w:hRule="atLeast"/>
          <w:tblHeader/>
          <w:jc w:val="center"/>
        </w:trPr>
        <w:tc>
          <w:tcPr>
            <w:tcW w:w="680" w:type="dxa"/>
            <w:noWrap w:val="0"/>
            <w:vAlign w:val="center"/>
          </w:tcPr>
          <w:p>
            <w:pPr>
              <w:widowControl/>
              <w:jc w:val="center"/>
              <w:textAlignment w:val="center"/>
              <w:rPr>
                <w:rFonts w:eastAsia="黑体"/>
                <w:sz w:val="24"/>
              </w:rPr>
            </w:pPr>
            <w:r>
              <w:rPr>
                <w:rFonts w:eastAsia="黑体"/>
                <w:kern w:val="0"/>
                <w:sz w:val="24"/>
              </w:rPr>
              <w:t>序号</w:t>
            </w:r>
          </w:p>
        </w:tc>
        <w:tc>
          <w:tcPr>
            <w:tcW w:w="3812" w:type="dxa"/>
            <w:noWrap w:val="0"/>
            <w:vAlign w:val="center"/>
          </w:tcPr>
          <w:p>
            <w:pPr>
              <w:widowControl/>
              <w:jc w:val="center"/>
              <w:textAlignment w:val="center"/>
              <w:rPr>
                <w:rFonts w:eastAsia="黑体"/>
                <w:sz w:val="24"/>
              </w:rPr>
            </w:pPr>
            <w:r>
              <w:rPr>
                <w:rFonts w:eastAsia="黑体"/>
                <w:kern w:val="0"/>
                <w:sz w:val="24"/>
              </w:rPr>
              <w:t>权限名称</w:t>
            </w:r>
          </w:p>
        </w:tc>
        <w:tc>
          <w:tcPr>
            <w:tcW w:w="1633" w:type="dxa"/>
            <w:noWrap w:val="0"/>
            <w:vAlign w:val="center"/>
          </w:tcPr>
          <w:p>
            <w:pPr>
              <w:widowControl/>
              <w:jc w:val="center"/>
              <w:textAlignment w:val="center"/>
              <w:rPr>
                <w:rFonts w:eastAsia="黑体"/>
                <w:sz w:val="24"/>
              </w:rPr>
            </w:pPr>
            <w:r>
              <w:rPr>
                <w:rFonts w:eastAsia="黑体"/>
                <w:kern w:val="0"/>
                <w:sz w:val="24"/>
              </w:rPr>
              <w:t>原实施机关</w:t>
            </w:r>
          </w:p>
        </w:tc>
        <w:tc>
          <w:tcPr>
            <w:tcW w:w="2400" w:type="dxa"/>
            <w:noWrap w:val="0"/>
            <w:vAlign w:val="center"/>
          </w:tcPr>
          <w:p>
            <w:pPr>
              <w:widowControl/>
              <w:jc w:val="center"/>
              <w:textAlignment w:val="center"/>
              <w:rPr>
                <w:rFonts w:eastAsia="黑体"/>
                <w:sz w:val="24"/>
              </w:rPr>
            </w:pPr>
            <w:r>
              <w:rPr>
                <w:rFonts w:eastAsia="黑体"/>
                <w:kern w:val="0"/>
                <w:sz w:val="24"/>
              </w:rPr>
              <w:t>承接园区</w:t>
            </w:r>
          </w:p>
        </w:tc>
        <w:tc>
          <w:tcPr>
            <w:tcW w:w="1198" w:type="dxa"/>
            <w:noWrap w:val="0"/>
            <w:vAlign w:val="center"/>
          </w:tcPr>
          <w:p>
            <w:pPr>
              <w:widowControl/>
              <w:jc w:val="center"/>
              <w:textAlignment w:val="center"/>
              <w:rPr>
                <w:rFonts w:eastAsia="黑体"/>
                <w:kern w:val="0"/>
                <w:sz w:val="24"/>
              </w:rPr>
            </w:pPr>
            <w:r>
              <w:rPr>
                <w:rFonts w:hint="eastAsia" w:ascii="黑体" w:eastAsia="黑体" w:cs="宋体"/>
                <w:kern w:val="0"/>
                <w:sz w:val="24"/>
              </w:rPr>
              <w:t>调整方式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044"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1</w:t>
            </w:r>
          </w:p>
        </w:tc>
        <w:tc>
          <w:tcPr>
            <w:tcW w:w="3812" w:type="dxa"/>
            <w:noWrap w:val="0"/>
            <w:vAlign w:val="center"/>
          </w:tcPr>
          <w:p>
            <w:pPr>
              <w:widowControl/>
              <w:textAlignment w:val="center"/>
              <w:rPr>
                <w:rFonts w:eastAsia="仿宋_GB2312"/>
                <w:kern w:val="0"/>
                <w:sz w:val="24"/>
              </w:rPr>
            </w:pPr>
            <w:r>
              <w:rPr>
                <w:rFonts w:eastAsia="仿宋_GB2312"/>
                <w:kern w:val="0"/>
                <w:sz w:val="24"/>
              </w:rPr>
              <w:t>旅行社设立审批</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海口江东新区、海口国家高新技术产业开发区、</w:t>
            </w:r>
            <w:r>
              <w:rPr>
                <w:rFonts w:hint="eastAsia" w:ascii="仿宋_GB2312" w:hAnsi="仿宋_GB2312" w:eastAsia="仿宋_GB2312" w:cs="仿宋_GB2312"/>
                <w:kern w:val="0"/>
                <w:sz w:val="24"/>
              </w:rPr>
              <w:t>博鳌乐城国际医疗旅游先行区、</w:t>
            </w:r>
            <w:r>
              <w:rPr>
                <w:rFonts w:eastAsia="仿宋_GB2312"/>
                <w:kern w:val="0"/>
                <w:sz w:val="24"/>
              </w:rPr>
              <w:t>文昌国际航天城、陵水黎安国际教育创新试验区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132"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2</w:t>
            </w:r>
          </w:p>
        </w:tc>
        <w:tc>
          <w:tcPr>
            <w:tcW w:w="3812" w:type="dxa"/>
            <w:noWrap w:val="0"/>
            <w:vAlign w:val="center"/>
          </w:tcPr>
          <w:p>
            <w:pPr>
              <w:widowControl/>
              <w:textAlignment w:val="center"/>
              <w:rPr>
                <w:rFonts w:eastAsia="仿宋_GB2312"/>
                <w:kern w:val="0"/>
                <w:sz w:val="24"/>
              </w:rPr>
            </w:pPr>
            <w:r>
              <w:rPr>
                <w:rFonts w:eastAsia="仿宋_GB2312"/>
                <w:kern w:val="0"/>
                <w:sz w:val="24"/>
              </w:rPr>
              <w:t>外商投资旅行社业务许可</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海口江东新区、海口国家高新技术产业开发区、博鳌乐城国际医疗旅游先行区、文昌国际航天城</w:t>
            </w:r>
            <w:r>
              <w:rPr>
                <w:rFonts w:hint="eastAsia" w:ascii="仿宋_GB2312" w:hAnsi="仿宋_GB2312" w:eastAsia="仿宋_GB2312" w:cs="仿宋_GB2312"/>
                <w:kern w:val="0"/>
                <w:sz w:val="24"/>
              </w:rPr>
              <w:t>、陵水黎安国际教育创新试验区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932"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3</w:t>
            </w:r>
          </w:p>
        </w:tc>
        <w:tc>
          <w:tcPr>
            <w:tcW w:w="3812" w:type="dxa"/>
            <w:noWrap w:val="0"/>
            <w:vAlign w:val="center"/>
          </w:tcPr>
          <w:p>
            <w:pPr>
              <w:widowControl/>
              <w:textAlignment w:val="center"/>
              <w:rPr>
                <w:rFonts w:eastAsia="仿宋_GB2312"/>
                <w:kern w:val="0"/>
                <w:sz w:val="24"/>
              </w:rPr>
            </w:pPr>
            <w:r>
              <w:rPr>
                <w:rFonts w:eastAsia="仿宋_GB2312"/>
                <w:kern w:val="0"/>
                <w:sz w:val="24"/>
              </w:rPr>
              <w:t>旅行社业务经营许可证毁损换发、遗失补发</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海口江东新区、海口国家高新技术产业开发区、</w:t>
            </w:r>
            <w:r>
              <w:rPr>
                <w:rFonts w:hint="eastAsia" w:ascii="仿宋_GB2312" w:hAnsi="仿宋_GB2312" w:eastAsia="仿宋_GB2312" w:cs="仿宋_GB2312"/>
                <w:kern w:val="0"/>
                <w:sz w:val="24"/>
              </w:rPr>
              <w:t>博鳌乐城国际医疗旅游先行区、</w:t>
            </w:r>
            <w:r>
              <w:rPr>
                <w:rFonts w:eastAsia="仿宋_GB2312"/>
                <w:kern w:val="0"/>
                <w:sz w:val="24"/>
              </w:rPr>
              <w:t>文昌国际航天城、陵水黎安国际教育创新试验区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007"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4</w:t>
            </w:r>
          </w:p>
        </w:tc>
        <w:tc>
          <w:tcPr>
            <w:tcW w:w="3812" w:type="dxa"/>
            <w:noWrap w:val="0"/>
            <w:vAlign w:val="center"/>
          </w:tcPr>
          <w:p>
            <w:pPr>
              <w:widowControl/>
              <w:textAlignment w:val="center"/>
              <w:rPr>
                <w:rFonts w:eastAsia="仿宋_GB2312"/>
                <w:kern w:val="0"/>
                <w:sz w:val="24"/>
              </w:rPr>
            </w:pPr>
            <w:r>
              <w:rPr>
                <w:rFonts w:eastAsia="仿宋_GB2312"/>
                <w:kern w:val="0"/>
                <w:sz w:val="24"/>
              </w:rPr>
              <w:t>旅行社登记事项变更备案（含名称、经营场所、法定代表人、出资人变更）</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海口江东新区、海口国家高新技术产业开发区、</w:t>
            </w:r>
            <w:r>
              <w:rPr>
                <w:rFonts w:hint="eastAsia" w:ascii="仿宋_GB2312" w:hAnsi="仿宋_GB2312" w:eastAsia="仿宋_GB2312" w:cs="仿宋_GB2312"/>
                <w:kern w:val="0"/>
                <w:sz w:val="24"/>
              </w:rPr>
              <w:t>博鳌乐城国际医疗旅游先行区、文昌国际航天城、陵水黎安国际教育创新试验</w:t>
            </w:r>
            <w:r>
              <w:rPr>
                <w:rFonts w:eastAsia="仿宋_GB2312"/>
                <w:kern w:val="0"/>
                <w:sz w:val="24"/>
              </w:rPr>
              <w:t>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957"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5</w:t>
            </w:r>
          </w:p>
        </w:tc>
        <w:tc>
          <w:tcPr>
            <w:tcW w:w="3812" w:type="dxa"/>
            <w:noWrap w:val="0"/>
            <w:vAlign w:val="center"/>
          </w:tcPr>
          <w:p>
            <w:pPr>
              <w:widowControl/>
              <w:textAlignment w:val="center"/>
              <w:rPr>
                <w:rFonts w:eastAsia="仿宋_GB2312"/>
                <w:kern w:val="0"/>
                <w:sz w:val="24"/>
              </w:rPr>
            </w:pPr>
            <w:r>
              <w:rPr>
                <w:rFonts w:eastAsia="仿宋_GB2312"/>
                <w:kern w:val="0"/>
                <w:sz w:val="24"/>
              </w:rPr>
              <w:t>旅行社终止经营备案</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海口江东新区、海口国家</w:t>
            </w:r>
            <w:r>
              <w:rPr>
                <w:rFonts w:hint="eastAsia" w:ascii="仿宋_GB2312" w:hAnsi="仿宋_GB2312" w:eastAsia="仿宋_GB2312" w:cs="仿宋_GB2312"/>
                <w:kern w:val="0"/>
                <w:sz w:val="24"/>
              </w:rPr>
              <w:t>高新技术产业开发区、博鳌乐城国际医疗旅游先行区、</w:t>
            </w:r>
            <w:r>
              <w:rPr>
                <w:rFonts w:eastAsia="仿宋_GB2312"/>
                <w:kern w:val="0"/>
                <w:sz w:val="24"/>
              </w:rPr>
              <w:t>文昌国际航天城、陵水黎安国际教育创新试验区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157" w:hRule="atLeast"/>
          <w:jc w:val="center"/>
        </w:trPr>
        <w:tc>
          <w:tcPr>
            <w:tcW w:w="680" w:type="dxa"/>
            <w:shd w:val="clear" w:color="auto" w:fill="FFFFFF"/>
            <w:noWrap w:val="0"/>
            <w:vAlign w:val="center"/>
          </w:tcPr>
          <w:p>
            <w:pPr>
              <w:widowControl/>
              <w:jc w:val="center"/>
              <w:textAlignment w:val="center"/>
              <w:rPr>
                <w:rFonts w:eastAsia="仿宋_GB2312"/>
                <w:sz w:val="24"/>
              </w:rPr>
            </w:pPr>
            <w:r>
              <w:rPr>
                <w:rFonts w:hint="eastAsia" w:eastAsia="仿宋_GB2312"/>
                <w:sz w:val="24"/>
              </w:rPr>
              <w:t>6</w:t>
            </w:r>
          </w:p>
        </w:tc>
        <w:tc>
          <w:tcPr>
            <w:tcW w:w="3812" w:type="dxa"/>
            <w:noWrap w:val="0"/>
            <w:vAlign w:val="center"/>
          </w:tcPr>
          <w:p>
            <w:pPr>
              <w:widowControl/>
              <w:textAlignment w:val="center"/>
              <w:rPr>
                <w:rFonts w:eastAsia="仿宋_GB2312"/>
                <w:sz w:val="24"/>
              </w:rPr>
            </w:pPr>
            <w:r>
              <w:rPr>
                <w:rFonts w:eastAsia="仿宋_GB2312"/>
                <w:kern w:val="0"/>
                <w:sz w:val="24"/>
              </w:rPr>
              <w:t>导游证核发（含换发、补发）</w:t>
            </w:r>
          </w:p>
        </w:tc>
        <w:tc>
          <w:tcPr>
            <w:tcW w:w="1633" w:type="dxa"/>
            <w:noWrap w:val="0"/>
            <w:vAlign w:val="center"/>
          </w:tcPr>
          <w:p>
            <w:pPr>
              <w:widowControl/>
              <w:jc w:val="center"/>
              <w:rPr>
                <w:rFonts w:eastAsia="仿宋_GB2312"/>
                <w:sz w:val="24"/>
              </w:rPr>
            </w:pPr>
            <w:r>
              <w:rPr>
                <w:rFonts w:eastAsia="仿宋_GB2312"/>
                <w:kern w:val="0"/>
                <w:sz w:val="24"/>
              </w:rPr>
              <w:t>省旅游和文化广电体育厅</w:t>
            </w:r>
          </w:p>
        </w:tc>
        <w:tc>
          <w:tcPr>
            <w:tcW w:w="2400" w:type="dxa"/>
            <w:noWrap w:val="0"/>
            <w:vAlign w:val="center"/>
          </w:tcPr>
          <w:p>
            <w:pPr>
              <w:widowControl/>
              <w:rPr>
                <w:rFonts w:eastAsia="仿宋_GB2312"/>
                <w:sz w:val="24"/>
              </w:rPr>
            </w:pPr>
            <w:r>
              <w:rPr>
                <w:rFonts w:hint="eastAsia" w:ascii="仿宋_GB2312" w:hAnsi="仿宋_GB2312" w:eastAsia="仿宋_GB2312" w:cs="仿宋_GB2312"/>
                <w:kern w:val="0"/>
                <w:sz w:val="24"/>
              </w:rPr>
              <w:t>海口江东新区、海口国家高新技术产业开发区、博鳌乐城国际医疗旅游先行</w:t>
            </w:r>
            <w:r>
              <w:rPr>
                <w:rFonts w:eastAsia="仿宋_GB2312"/>
                <w:kern w:val="0"/>
                <w:sz w:val="24"/>
              </w:rPr>
              <w:t>区、文昌国际航天城、陵水黎安国际教育创新试验区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322" w:hRule="atLeast"/>
          <w:jc w:val="center"/>
        </w:trPr>
        <w:tc>
          <w:tcPr>
            <w:tcW w:w="680" w:type="dxa"/>
            <w:shd w:val="clear" w:color="auto" w:fill="FFFFFF"/>
            <w:noWrap w:val="0"/>
            <w:vAlign w:val="center"/>
          </w:tcPr>
          <w:p>
            <w:pPr>
              <w:widowControl/>
              <w:jc w:val="center"/>
              <w:textAlignment w:val="center"/>
              <w:rPr>
                <w:rFonts w:hint="eastAsia" w:eastAsia="仿宋_GB2312"/>
                <w:sz w:val="24"/>
              </w:rPr>
            </w:pPr>
            <w:r>
              <w:rPr>
                <w:rFonts w:hint="eastAsia" w:eastAsia="仿宋_GB2312"/>
                <w:kern w:val="0"/>
                <w:sz w:val="24"/>
              </w:rPr>
              <w:t>7</w:t>
            </w:r>
          </w:p>
        </w:tc>
        <w:tc>
          <w:tcPr>
            <w:tcW w:w="3812" w:type="dxa"/>
            <w:noWrap w:val="0"/>
            <w:vAlign w:val="center"/>
          </w:tcPr>
          <w:p>
            <w:pPr>
              <w:widowControl/>
              <w:textAlignment w:val="center"/>
              <w:rPr>
                <w:rFonts w:ascii="仿宋_GB2312" w:hAnsi="Calibri" w:eastAsia="仿宋_GB2312" w:cs="宋体"/>
                <w:sz w:val="24"/>
              </w:rPr>
            </w:pPr>
            <w:r>
              <w:rPr>
                <w:rFonts w:hint="eastAsia" w:ascii="仿宋_GB2312" w:eastAsia="仿宋_GB2312" w:cs="宋体"/>
                <w:kern w:val="0"/>
                <w:sz w:val="24"/>
              </w:rPr>
              <w:t>导游员调动所属单位变更备案</w:t>
            </w:r>
          </w:p>
        </w:tc>
        <w:tc>
          <w:tcPr>
            <w:tcW w:w="1633" w:type="dxa"/>
            <w:noWrap w:val="0"/>
            <w:vAlign w:val="center"/>
          </w:tcPr>
          <w:p>
            <w:pPr>
              <w:widowControl/>
              <w:jc w:val="center"/>
              <w:rPr>
                <w:rFonts w:ascii="仿宋_GB2312" w:hAnsi="Calibri" w:eastAsia="仿宋_GB2312" w:cs="宋体"/>
                <w:sz w:val="24"/>
              </w:rPr>
            </w:pPr>
            <w:r>
              <w:rPr>
                <w:rFonts w:hint="eastAsia" w:ascii="仿宋_GB2312" w:eastAsia="仿宋_GB2312" w:cs="宋体"/>
                <w:kern w:val="0"/>
                <w:sz w:val="24"/>
              </w:rPr>
              <w:t>省旅游和文化广电体育厅</w:t>
            </w:r>
          </w:p>
        </w:tc>
        <w:tc>
          <w:tcPr>
            <w:tcW w:w="2400" w:type="dxa"/>
            <w:noWrap w:val="0"/>
            <w:vAlign w:val="center"/>
          </w:tcPr>
          <w:p>
            <w:pPr>
              <w:widowControl/>
              <w:rPr>
                <w:rFonts w:hint="eastAsia" w:ascii="仿宋_GB2312" w:hAnsi="Calibri" w:eastAsia="仿宋_GB2312" w:cs="宋体"/>
                <w:sz w:val="24"/>
              </w:rPr>
            </w:pPr>
            <w:r>
              <w:rPr>
                <w:rFonts w:hint="eastAsia" w:ascii="仿宋_GB2312" w:hAnsi="仿宋_GB2312" w:eastAsia="仿宋_GB2312" w:cs="仿宋_GB2312"/>
                <w:kern w:val="0"/>
                <w:sz w:val="24"/>
              </w:rPr>
              <w:t>海口江东新区、海口国家高新技术产业开发区、</w:t>
            </w:r>
            <w:r>
              <w:rPr>
                <w:rFonts w:hint="eastAsia" w:ascii="仿宋_GB2312" w:eastAsia="仿宋_GB2312" w:cs="宋体"/>
                <w:kern w:val="0"/>
                <w:sz w:val="24"/>
              </w:rPr>
              <w:t>博鳌乐城国际医疗旅游先行区、文昌国际航天城、陵水黎安国际教育创新试验区</w:t>
            </w:r>
          </w:p>
        </w:tc>
        <w:tc>
          <w:tcPr>
            <w:tcW w:w="1198" w:type="dxa"/>
            <w:noWrap w:val="0"/>
            <w:vAlign w:val="center"/>
          </w:tcPr>
          <w:p>
            <w:pPr>
              <w:widowControl/>
              <w:jc w:val="center"/>
              <w:rPr>
                <w:rFonts w:hint="eastAsia" w:ascii="仿宋_GB2312" w:eastAsia="仿宋_GB2312" w:cs="宋体"/>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457"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8</w:t>
            </w:r>
          </w:p>
        </w:tc>
        <w:tc>
          <w:tcPr>
            <w:tcW w:w="3812" w:type="dxa"/>
            <w:noWrap w:val="0"/>
            <w:vAlign w:val="center"/>
          </w:tcPr>
          <w:p>
            <w:pPr>
              <w:widowControl/>
              <w:textAlignment w:val="center"/>
              <w:rPr>
                <w:rFonts w:eastAsia="仿宋_GB2312"/>
                <w:kern w:val="0"/>
                <w:sz w:val="24"/>
              </w:rPr>
            </w:pPr>
            <w:r>
              <w:rPr>
                <w:rFonts w:eastAsia="仿宋_GB2312"/>
                <w:kern w:val="0"/>
                <w:sz w:val="24"/>
              </w:rPr>
              <w:t>演出经纪机构从事营业性演出经营活动审批（含设立、延续、变更）</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eastAsia="仿宋_GB2312"/>
                <w:kern w:val="0"/>
                <w:sz w:val="24"/>
              </w:rPr>
              <w:t>海口国家高新技术产业开发区、三亚中央商务区、海南生态软件园、文昌国际航天城、陵水黎安国际教育创新试验区</w:t>
            </w:r>
          </w:p>
        </w:tc>
        <w:tc>
          <w:tcPr>
            <w:tcW w:w="1198" w:type="dxa"/>
            <w:noWrap w:val="0"/>
            <w:vAlign w:val="center"/>
          </w:tcPr>
          <w:p>
            <w:pPr>
              <w:widowControl/>
              <w:jc w:val="center"/>
              <w:rPr>
                <w:rFonts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387"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hint="eastAsia" w:eastAsia="仿宋_GB2312"/>
                <w:kern w:val="0"/>
                <w:sz w:val="24"/>
              </w:rPr>
              <w:t>9</w:t>
            </w:r>
          </w:p>
        </w:tc>
        <w:tc>
          <w:tcPr>
            <w:tcW w:w="3812" w:type="dxa"/>
            <w:noWrap w:val="0"/>
            <w:vAlign w:val="center"/>
          </w:tcPr>
          <w:p>
            <w:pPr>
              <w:widowControl/>
              <w:textAlignment w:val="center"/>
              <w:rPr>
                <w:rFonts w:eastAsia="仿宋_GB2312"/>
                <w:kern w:val="0"/>
                <w:sz w:val="24"/>
              </w:rPr>
            </w:pPr>
            <w:r>
              <w:rPr>
                <w:rFonts w:eastAsia="仿宋_GB2312"/>
                <w:kern w:val="0"/>
                <w:sz w:val="24"/>
              </w:rPr>
              <w:t>降低旅游服务质量保证金资格确认</w:t>
            </w:r>
          </w:p>
        </w:tc>
        <w:tc>
          <w:tcPr>
            <w:tcW w:w="1633" w:type="dxa"/>
            <w:noWrap w:val="0"/>
            <w:vAlign w:val="center"/>
          </w:tcPr>
          <w:p>
            <w:pPr>
              <w:widowControl/>
              <w:jc w:val="center"/>
              <w:rPr>
                <w:rFonts w:eastAsia="仿宋_GB2312"/>
                <w:kern w:val="0"/>
                <w:sz w:val="24"/>
              </w:rPr>
            </w:pPr>
            <w:r>
              <w:rPr>
                <w:rFonts w:eastAsia="仿宋_GB2312"/>
                <w:kern w:val="0"/>
                <w:sz w:val="24"/>
              </w:rPr>
              <w:t>省旅游和文化广电体育厅</w:t>
            </w:r>
          </w:p>
        </w:tc>
        <w:tc>
          <w:tcPr>
            <w:tcW w:w="2400" w:type="dxa"/>
            <w:noWrap w:val="0"/>
            <w:vAlign w:val="center"/>
          </w:tcPr>
          <w:p>
            <w:pPr>
              <w:widowControl/>
              <w:rPr>
                <w:rFonts w:eastAsia="仿宋_GB2312"/>
                <w:kern w:val="0"/>
                <w:sz w:val="24"/>
              </w:rPr>
            </w:pPr>
            <w:r>
              <w:rPr>
                <w:rFonts w:hint="eastAsia" w:ascii="仿宋_GB2312" w:hAnsi="仿宋_GB2312" w:eastAsia="仿宋_GB2312" w:cs="仿宋_GB2312"/>
                <w:kern w:val="0"/>
                <w:sz w:val="24"/>
              </w:rPr>
              <w:t>海口江东新区、海口国家高新技术产业开发区、博鳌乐城国际医疗旅游先行区、文昌国际航天城、陵水黎</w:t>
            </w:r>
            <w:r>
              <w:rPr>
                <w:rFonts w:eastAsia="仿宋_GB2312"/>
                <w:kern w:val="0"/>
                <w:sz w:val="24"/>
              </w:rPr>
              <w:t>安国际教育创新试验区</w:t>
            </w:r>
          </w:p>
        </w:tc>
        <w:tc>
          <w:tcPr>
            <w:tcW w:w="1198" w:type="dxa"/>
            <w:noWrap w:val="0"/>
            <w:vAlign w:val="center"/>
          </w:tcPr>
          <w:p>
            <w:pPr>
              <w:widowControl/>
              <w:jc w:val="center"/>
              <w:rPr>
                <w:rFonts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387"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10</w:t>
            </w:r>
          </w:p>
        </w:tc>
        <w:tc>
          <w:tcPr>
            <w:tcW w:w="3812" w:type="dxa"/>
            <w:noWrap w:val="0"/>
            <w:vAlign w:val="center"/>
          </w:tcPr>
          <w:p>
            <w:pPr>
              <w:widowControl/>
              <w:textAlignment w:val="center"/>
              <w:rPr>
                <w:rFonts w:eastAsia="仿宋_GB2312"/>
                <w:kern w:val="0"/>
                <w:sz w:val="24"/>
              </w:rPr>
            </w:pPr>
            <w:r>
              <w:rPr>
                <w:rFonts w:eastAsia="仿宋_GB2312"/>
                <w:kern w:val="0"/>
                <w:sz w:val="24"/>
              </w:rPr>
              <w:t>医疗机构执业登记审批（不含互联网医院）</w:t>
            </w:r>
          </w:p>
        </w:tc>
        <w:tc>
          <w:tcPr>
            <w:tcW w:w="1633" w:type="dxa"/>
            <w:noWrap w:val="0"/>
            <w:vAlign w:val="center"/>
          </w:tcPr>
          <w:p>
            <w:pPr>
              <w:widowControl/>
              <w:jc w:val="center"/>
              <w:textAlignment w:val="center"/>
              <w:rPr>
                <w:rFonts w:eastAsia="仿宋_GB2312"/>
                <w:kern w:val="0"/>
                <w:sz w:val="24"/>
              </w:rPr>
            </w:pPr>
            <w:r>
              <w:rPr>
                <w:rFonts w:eastAsia="仿宋_GB2312"/>
                <w:kern w:val="0"/>
                <w:sz w:val="24"/>
              </w:rPr>
              <w:t>省卫生健康</w:t>
            </w:r>
          </w:p>
          <w:p>
            <w:pPr>
              <w:widowControl/>
              <w:jc w:val="center"/>
              <w:textAlignment w:val="center"/>
              <w:rPr>
                <w:rFonts w:eastAsia="仿宋_GB2312"/>
                <w:kern w:val="0"/>
                <w:sz w:val="24"/>
              </w:rPr>
            </w:pPr>
            <w:r>
              <w:rPr>
                <w:rFonts w:eastAsia="仿宋_GB2312"/>
                <w:kern w:val="0"/>
                <w:sz w:val="24"/>
              </w:rPr>
              <w:t>委员会</w:t>
            </w:r>
          </w:p>
        </w:tc>
        <w:tc>
          <w:tcPr>
            <w:tcW w:w="2400" w:type="dxa"/>
            <w:noWrap w:val="0"/>
            <w:vAlign w:val="center"/>
          </w:tcPr>
          <w:p>
            <w:pPr>
              <w:widowControl/>
              <w:rPr>
                <w:rFonts w:hint="eastAsia" w:eastAsia="仿宋_GB2312"/>
                <w:kern w:val="0"/>
                <w:sz w:val="24"/>
              </w:rPr>
            </w:pPr>
            <w:r>
              <w:rPr>
                <w:rFonts w:eastAsia="仿宋_GB2312"/>
                <w:kern w:val="0"/>
                <w:sz w:val="24"/>
              </w:rPr>
              <w:t>博鳌乐城国际医疗旅游先行区</w:t>
            </w:r>
          </w:p>
        </w:tc>
        <w:tc>
          <w:tcPr>
            <w:tcW w:w="1198" w:type="dxa"/>
            <w:noWrap w:val="0"/>
            <w:vAlign w:val="center"/>
          </w:tcPr>
          <w:p>
            <w:pPr>
              <w:widowControl/>
              <w:jc w:val="center"/>
              <w:rPr>
                <w:rFonts w:hint="eastAsia"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617"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11</w:t>
            </w:r>
          </w:p>
        </w:tc>
        <w:tc>
          <w:tcPr>
            <w:tcW w:w="3812" w:type="dxa"/>
            <w:noWrap w:val="0"/>
            <w:vAlign w:val="center"/>
          </w:tcPr>
          <w:p>
            <w:pPr>
              <w:widowControl/>
              <w:textAlignment w:val="center"/>
              <w:rPr>
                <w:rFonts w:eastAsia="仿宋_GB2312"/>
                <w:sz w:val="24"/>
              </w:rPr>
            </w:pPr>
            <w:r>
              <w:rPr>
                <w:rFonts w:eastAsia="仿宋_GB2312"/>
                <w:kern w:val="0"/>
                <w:sz w:val="24"/>
              </w:rPr>
              <w:t>社会办医疗机构</w:t>
            </w:r>
            <w:r>
              <w:rPr>
                <w:rFonts w:hint="eastAsia" w:ascii="仿宋_GB2312" w:hAnsi="仿宋_GB2312" w:eastAsia="仿宋_GB2312" w:cs="仿宋_GB2312"/>
                <w:kern w:val="0"/>
                <w:sz w:val="24"/>
              </w:rPr>
              <w:t>甲类大</w:t>
            </w:r>
            <w:r>
              <w:rPr>
                <w:rFonts w:eastAsia="仿宋_GB2312"/>
                <w:kern w:val="0"/>
                <w:sz w:val="24"/>
              </w:rPr>
              <w:t>型医用设备配置许可</w:t>
            </w:r>
          </w:p>
        </w:tc>
        <w:tc>
          <w:tcPr>
            <w:tcW w:w="1633" w:type="dxa"/>
            <w:noWrap w:val="0"/>
            <w:vAlign w:val="center"/>
          </w:tcPr>
          <w:p>
            <w:pPr>
              <w:widowControl/>
              <w:jc w:val="center"/>
              <w:textAlignment w:val="center"/>
              <w:rPr>
                <w:rFonts w:eastAsia="仿宋_GB2312"/>
                <w:kern w:val="0"/>
                <w:sz w:val="24"/>
              </w:rPr>
            </w:pPr>
            <w:r>
              <w:rPr>
                <w:rFonts w:eastAsia="仿宋_GB2312"/>
                <w:kern w:val="0"/>
                <w:sz w:val="24"/>
              </w:rPr>
              <w:t>省卫生健康</w:t>
            </w:r>
          </w:p>
          <w:p>
            <w:pPr>
              <w:widowControl/>
              <w:jc w:val="center"/>
              <w:textAlignment w:val="center"/>
              <w:rPr>
                <w:rFonts w:eastAsia="仿宋_GB2312"/>
                <w:sz w:val="24"/>
              </w:rPr>
            </w:pPr>
            <w:r>
              <w:rPr>
                <w:rFonts w:eastAsia="仿宋_GB2312"/>
                <w:kern w:val="0"/>
                <w:sz w:val="24"/>
              </w:rPr>
              <w:t>委员会</w:t>
            </w:r>
          </w:p>
        </w:tc>
        <w:tc>
          <w:tcPr>
            <w:tcW w:w="2400" w:type="dxa"/>
            <w:noWrap w:val="0"/>
            <w:vAlign w:val="center"/>
          </w:tcPr>
          <w:p>
            <w:pPr>
              <w:widowControl/>
              <w:rPr>
                <w:rFonts w:hint="eastAsia" w:eastAsia="仿宋_GB2312"/>
                <w:sz w:val="24"/>
              </w:rPr>
            </w:pPr>
            <w:r>
              <w:rPr>
                <w:rFonts w:eastAsia="仿宋_GB2312"/>
                <w:kern w:val="0"/>
                <w:sz w:val="24"/>
              </w:rPr>
              <w:t>博鳌乐城国际医疗旅游先行区</w:t>
            </w:r>
          </w:p>
        </w:tc>
        <w:tc>
          <w:tcPr>
            <w:tcW w:w="1198" w:type="dxa"/>
            <w:noWrap w:val="0"/>
            <w:vAlign w:val="center"/>
          </w:tcPr>
          <w:p>
            <w:pPr>
              <w:widowControl/>
              <w:jc w:val="center"/>
              <w:rPr>
                <w:rFonts w:hint="eastAsia" w:eastAsia="仿宋_GB2312"/>
                <w:kern w:val="0"/>
                <w:sz w:val="24"/>
              </w:rPr>
            </w:pPr>
            <w:r>
              <w:rPr>
                <w:rFonts w:hint="eastAsia" w:ascii="仿宋_GB2312" w:hAnsi="仿宋_GB2312" w:eastAsia="仿宋_GB2312" w:cs="仿宋_GB2312"/>
                <w:kern w:val="0"/>
                <w:sz w:val="24"/>
              </w:rPr>
              <w:t>委托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717"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12</w:t>
            </w:r>
          </w:p>
        </w:tc>
        <w:tc>
          <w:tcPr>
            <w:tcW w:w="3812" w:type="dxa"/>
            <w:noWrap w:val="0"/>
            <w:vAlign w:val="center"/>
          </w:tcPr>
          <w:p>
            <w:pPr>
              <w:widowControl/>
              <w:textAlignment w:val="center"/>
              <w:rPr>
                <w:rFonts w:eastAsia="仿宋_GB2312"/>
                <w:kern w:val="0"/>
                <w:sz w:val="24"/>
              </w:rPr>
            </w:pPr>
            <w:r>
              <w:rPr>
                <w:rFonts w:hint="eastAsia" w:ascii="仿宋_GB2312" w:hAnsi="仿宋_GB2312" w:eastAsia="仿宋_GB2312" w:cs="仿宋_GB2312"/>
                <w:kern w:val="0"/>
                <w:sz w:val="24"/>
              </w:rPr>
              <w:t>社会办医疗机构配置乙类大型医用设备备案</w:t>
            </w:r>
          </w:p>
        </w:tc>
        <w:tc>
          <w:tcPr>
            <w:tcW w:w="1633" w:type="dxa"/>
            <w:noWrap w:val="0"/>
            <w:vAlign w:val="center"/>
          </w:tcPr>
          <w:p>
            <w:pPr>
              <w:widowControl/>
              <w:jc w:val="center"/>
              <w:textAlignment w:val="center"/>
              <w:rPr>
                <w:rFonts w:eastAsia="仿宋_GB2312"/>
                <w:kern w:val="0"/>
                <w:sz w:val="24"/>
              </w:rPr>
            </w:pPr>
            <w:r>
              <w:rPr>
                <w:rFonts w:eastAsia="仿宋_GB2312"/>
                <w:kern w:val="0"/>
                <w:sz w:val="24"/>
              </w:rPr>
              <w:t>省卫生健康</w:t>
            </w:r>
          </w:p>
          <w:p>
            <w:pPr>
              <w:widowControl/>
              <w:jc w:val="center"/>
              <w:textAlignment w:val="center"/>
              <w:rPr>
                <w:rFonts w:eastAsia="仿宋_GB2312"/>
                <w:kern w:val="0"/>
                <w:sz w:val="24"/>
              </w:rPr>
            </w:pPr>
            <w:r>
              <w:rPr>
                <w:rFonts w:eastAsia="仿宋_GB2312"/>
                <w:kern w:val="0"/>
                <w:sz w:val="24"/>
              </w:rPr>
              <w:t>委员会</w:t>
            </w:r>
          </w:p>
        </w:tc>
        <w:tc>
          <w:tcPr>
            <w:tcW w:w="2400" w:type="dxa"/>
            <w:noWrap w:val="0"/>
            <w:vAlign w:val="center"/>
          </w:tcPr>
          <w:p>
            <w:pPr>
              <w:widowControl/>
              <w:rPr>
                <w:rFonts w:hint="eastAsia" w:eastAsia="仿宋_GB2312"/>
                <w:kern w:val="0"/>
                <w:sz w:val="24"/>
              </w:rPr>
            </w:pPr>
            <w:r>
              <w:rPr>
                <w:rFonts w:eastAsia="仿宋_GB2312"/>
                <w:kern w:val="0"/>
                <w:sz w:val="24"/>
              </w:rPr>
              <w:t>博鳌乐城国际医疗旅游先行区</w:t>
            </w:r>
            <w:r>
              <w:rPr>
                <w:rFonts w:hint="eastAsia" w:eastAsia="仿宋_GB2312"/>
                <w:kern w:val="0"/>
                <w:sz w:val="24"/>
              </w:rPr>
              <w:t>、</w:t>
            </w:r>
            <w:r>
              <w:rPr>
                <w:rFonts w:eastAsia="仿宋_GB2312"/>
                <w:kern w:val="0"/>
                <w:sz w:val="24"/>
              </w:rPr>
              <w:t>海南生态软件园</w:t>
            </w:r>
          </w:p>
        </w:tc>
        <w:tc>
          <w:tcPr>
            <w:tcW w:w="1198" w:type="dxa"/>
            <w:noWrap w:val="0"/>
            <w:vAlign w:val="center"/>
          </w:tcPr>
          <w:p>
            <w:pPr>
              <w:widowControl/>
              <w:jc w:val="center"/>
              <w:rPr>
                <w:rFonts w:hint="eastAsia" w:ascii="仿宋_GB2312" w:hAnsi="Calibri" w:eastAsia="仿宋_GB2312" w:cs="宋体"/>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767"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13</w:t>
            </w:r>
          </w:p>
        </w:tc>
        <w:tc>
          <w:tcPr>
            <w:tcW w:w="3812" w:type="dxa"/>
            <w:noWrap w:val="0"/>
            <w:vAlign w:val="center"/>
          </w:tcPr>
          <w:p>
            <w:pPr>
              <w:widowControl/>
              <w:textAlignment w:val="center"/>
              <w:rPr>
                <w:rFonts w:eastAsia="仿宋_GB2312"/>
                <w:sz w:val="24"/>
              </w:rPr>
            </w:pPr>
            <w:r>
              <w:rPr>
                <w:rFonts w:eastAsia="仿宋_GB2312"/>
                <w:kern w:val="0"/>
                <w:sz w:val="24"/>
              </w:rPr>
              <w:t>外国人野外考察国家重点保护野生植物审批</w:t>
            </w:r>
          </w:p>
        </w:tc>
        <w:tc>
          <w:tcPr>
            <w:tcW w:w="1633" w:type="dxa"/>
            <w:noWrap w:val="0"/>
            <w:vAlign w:val="center"/>
          </w:tcPr>
          <w:p>
            <w:pPr>
              <w:widowControl/>
              <w:jc w:val="center"/>
              <w:rPr>
                <w:rFonts w:eastAsia="仿宋_GB2312"/>
                <w:sz w:val="24"/>
              </w:rPr>
            </w:pPr>
            <w:r>
              <w:rPr>
                <w:rFonts w:eastAsia="仿宋_GB2312"/>
                <w:kern w:val="0"/>
                <w:sz w:val="24"/>
              </w:rPr>
              <w:t>省农业农村厅</w:t>
            </w:r>
          </w:p>
        </w:tc>
        <w:tc>
          <w:tcPr>
            <w:tcW w:w="2400" w:type="dxa"/>
            <w:noWrap w:val="0"/>
            <w:vAlign w:val="center"/>
          </w:tcPr>
          <w:p>
            <w:pPr>
              <w:widowControl/>
              <w:rPr>
                <w:rFonts w:hint="eastAsia" w:eastAsia="仿宋_GB2312"/>
                <w:sz w:val="24"/>
              </w:rPr>
            </w:pPr>
            <w:r>
              <w:rPr>
                <w:rFonts w:eastAsia="仿宋_GB2312"/>
                <w:kern w:val="0"/>
                <w:sz w:val="24"/>
              </w:rPr>
              <w:t>三亚崖州湾科技城</w:t>
            </w:r>
          </w:p>
        </w:tc>
        <w:tc>
          <w:tcPr>
            <w:tcW w:w="1198" w:type="dxa"/>
            <w:noWrap w:val="0"/>
            <w:vAlign w:val="center"/>
          </w:tcPr>
          <w:p>
            <w:pPr>
              <w:widowControl/>
              <w:jc w:val="center"/>
              <w:rPr>
                <w:rFonts w:hint="eastAsia" w:eastAsia="仿宋_GB2312"/>
                <w:kern w:val="0"/>
                <w:sz w:val="24"/>
              </w:rPr>
            </w:pPr>
            <w:r>
              <w:rPr>
                <w:rFonts w:hint="eastAsia" w:ascii="仿宋_GB2312" w:hAnsi="仿宋_GB2312" w:eastAsia="仿宋_GB2312" w:cs="仿宋_GB2312"/>
                <w:kern w:val="0"/>
                <w:sz w:val="24"/>
              </w:rPr>
              <w:t>委托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606"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eastAsia="仿宋_GB2312"/>
                <w:kern w:val="0"/>
                <w:sz w:val="24"/>
              </w:rPr>
              <w:t>1</w:t>
            </w:r>
            <w:r>
              <w:rPr>
                <w:rFonts w:hint="eastAsia" w:eastAsia="仿宋_GB2312"/>
                <w:kern w:val="0"/>
                <w:sz w:val="24"/>
              </w:rPr>
              <w:t>4</w:t>
            </w:r>
          </w:p>
        </w:tc>
        <w:tc>
          <w:tcPr>
            <w:tcW w:w="3812" w:type="dxa"/>
            <w:shd w:val="clear" w:color="auto" w:fill="FFFFFF"/>
            <w:noWrap w:val="0"/>
            <w:vAlign w:val="center"/>
          </w:tcPr>
          <w:p>
            <w:pPr>
              <w:widowControl/>
              <w:textAlignment w:val="center"/>
              <w:rPr>
                <w:rFonts w:eastAsia="仿宋_GB2312"/>
                <w:kern w:val="0"/>
                <w:sz w:val="24"/>
              </w:rPr>
            </w:pPr>
            <w:r>
              <w:rPr>
                <w:rFonts w:eastAsia="仿宋_GB2312"/>
                <w:kern w:val="0"/>
                <w:sz w:val="24"/>
              </w:rPr>
              <w:t>民办普通高中、民办中等职业学校以捐赠者姓名或者名称作为校名的审批</w:t>
            </w:r>
          </w:p>
        </w:tc>
        <w:tc>
          <w:tcPr>
            <w:tcW w:w="1633" w:type="dxa"/>
            <w:shd w:val="clear" w:color="auto" w:fill="FFFFFF"/>
            <w:noWrap w:val="0"/>
            <w:vAlign w:val="center"/>
          </w:tcPr>
          <w:p>
            <w:pPr>
              <w:widowControl/>
              <w:jc w:val="center"/>
              <w:textAlignment w:val="center"/>
              <w:rPr>
                <w:rFonts w:eastAsia="仿宋_GB2312"/>
                <w:kern w:val="0"/>
                <w:sz w:val="24"/>
              </w:rPr>
            </w:pPr>
            <w:r>
              <w:rPr>
                <w:rFonts w:eastAsia="仿宋_GB2312"/>
                <w:kern w:val="0"/>
                <w:sz w:val="24"/>
              </w:rPr>
              <w:t>省教育厅</w:t>
            </w:r>
          </w:p>
        </w:tc>
        <w:tc>
          <w:tcPr>
            <w:tcW w:w="2400" w:type="dxa"/>
            <w:shd w:val="clear" w:color="auto" w:fill="FFFFFF"/>
            <w:noWrap w:val="0"/>
            <w:vAlign w:val="center"/>
          </w:tcPr>
          <w:p>
            <w:pPr>
              <w:widowControl/>
              <w:textAlignment w:val="center"/>
              <w:rPr>
                <w:rFonts w:eastAsia="仿宋_GB2312"/>
                <w:kern w:val="0"/>
                <w:sz w:val="24"/>
              </w:rPr>
            </w:pPr>
            <w:r>
              <w:rPr>
                <w:rFonts w:eastAsia="仿宋_GB2312"/>
                <w:kern w:val="0"/>
                <w:sz w:val="24"/>
              </w:rPr>
              <w:t>洋浦经济开发区、海口江东新区</w:t>
            </w:r>
          </w:p>
        </w:tc>
        <w:tc>
          <w:tcPr>
            <w:tcW w:w="1198" w:type="dxa"/>
            <w:shd w:val="clear" w:color="auto" w:fill="FFFFFF"/>
            <w:noWrap w:val="0"/>
            <w:vAlign w:val="center"/>
          </w:tcPr>
          <w:p>
            <w:pPr>
              <w:widowControl/>
              <w:jc w:val="center"/>
              <w:textAlignment w:val="center"/>
              <w:rPr>
                <w:rFonts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680" w:hRule="atLeast"/>
          <w:jc w:val="center"/>
        </w:trPr>
        <w:tc>
          <w:tcPr>
            <w:tcW w:w="680" w:type="dxa"/>
            <w:shd w:val="clear" w:color="auto" w:fill="FFFFFF"/>
            <w:noWrap w:val="0"/>
            <w:vAlign w:val="center"/>
          </w:tcPr>
          <w:p>
            <w:pPr>
              <w:widowControl/>
              <w:jc w:val="center"/>
              <w:textAlignment w:val="center"/>
              <w:rPr>
                <w:rFonts w:hint="eastAsia" w:eastAsia="仿宋_GB2312"/>
                <w:kern w:val="0"/>
                <w:sz w:val="24"/>
              </w:rPr>
            </w:pPr>
            <w:r>
              <w:rPr>
                <w:rFonts w:eastAsia="仿宋_GB2312"/>
                <w:kern w:val="0"/>
                <w:sz w:val="24"/>
              </w:rPr>
              <w:t>1</w:t>
            </w:r>
            <w:r>
              <w:rPr>
                <w:rFonts w:hint="eastAsia" w:eastAsia="仿宋_GB2312"/>
                <w:kern w:val="0"/>
                <w:sz w:val="24"/>
              </w:rPr>
              <w:t>5</w:t>
            </w:r>
          </w:p>
        </w:tc>
        <w:tc>
          <w:tcPr>
            <w:tcW w:w="3812" w:type="dxa"/>
            <w:shd w:val="clear" w:color="auto" w:fill="auto"/>
            <w:noWrap w:val="0"/>
            <w:vAlign w:val="center"/>
          </w:tcPr>
          <w:p>
            <w:pPr>
              <w:widowControl/>
              <w:textAlignment w:val="center"/>
              <w:rPr>
                <w:rFonts w:eastAsia="仿宋_GB2312"/>
                <w:kern w:val="0"/>
                <w:sz w:val="24"/>
              </w:rPr>
            </w:pPr>
            <w:r>
              <w:rPr>
                <w:rFonts w:eastAsia="仿宋_GB2312"/>
                <w:kern w:val="0"/>
                <w:sz w:val="24"/>
              </w:rPr>
              <w:t>设立普通技工学校、高级技工学校审批</w:t>
            </w:r>
          </w:p>
        </w:tc>
        <w:tc>
          <w:tcPr>
            <w:tcW w:w="1633" w:type="dxa"/>
            <w:shd w:val="clear" w:color="auto" w:fill="FFFFFF"/>
            <w:noWrap w:val="0"/>
            <w:vAlign w:val="center"/>
          </w:tcPr>
          <w:p>
            <w:pPr>
              <w:widowControl/>
              <w:jc w:val="center"/>
              <w:textAlignment w:val="center"/>
              <w:rPr>
                <w:rFonts w:eastAsia="仿宋_GB2312"/>
                <w:kern w:val="0"/>
                <w:sz w:val="24"/>
              </w:rPr>
            </w:pPr>
            <w:r>
              <w:rPr>
                <w:rFonts w:eastAsia="仿宋_GB2312"/>
                <w:kern w:val="0"/>
                <w:sz w:val="24"/>
              </w:rPr>
              <w:t>省人力资源和社会保障厅</w:t>
            </w:r>
          </w:p>
        </w:tc>
        <w:tc>
          <w:tcPr>
            <w:tcW w:w="2400" w:type="dxa"/>
            <w:shd w:val="clear" w:color="auto" w:fill="FFFFFF"/>
            <w:noWrap w:val="0"/>
            <w:vAlign w:val="center"/>
          </w:tcPr>
          <w:p>
            <w:pPr>
              <w:widowControl/>
              <w:rPr>
                <w:rFonts w:eastAsia="仿宋_GB2312"/>
                <w:kern w:val="0"/>
                <w:sz w:val="24"/>
              </w:rPr>
            </w:pPr>
            <w:r>
              <w:rPr>
                <w:rFonts w:eastAsia="仿宋_GB2312"/>
                <w:kern w:val="0"/>
                <w:sz w:val="24"/>
              </w:rPr>
              <w:t>洋浦经济开发区、文昌国际航天城</w:t>
            </w:r>
          </w:p>
        </w:tc>
        <w:tc>
          <w:tcPr>
            <w:tcW w:w="1198" w:type="dxa"/>
            <w:shd w:val="clear" w:color="auto" w:fill="FFFFFF"/>
            <w:noWrap w:val="0"/>
            <w:vAlign w:val="center"/>
          </w:tcPr>
          <w:p>
            <w:pPr>
              <w:widowControl/>
              <w:jc w:val="center"/>
              <w:rPr>
                <w:rFonts w:eastAsia="仿宋_GB2312"/>
                <w:kern w:val="0"/>
                <w:sz w:val="24"/>
              </w:rPr>
            </w:pPr>
            <w:r>
              <w:rPr>
                <w:rFonts w:hint="eastAsia" w:ascii="仿宋_GB2312" w:eastAsia="仿宋_GB2312" w:cs="宋体"/>
                <w:kern w:val="0"/>
                <w:sz w:val="24"/>
              </w:rPr>
              <w:t>下放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2995" w:hRule="atLeast"/>
          <w:jc w:val="center"/>
        </w:trPr>
        <w:tc>
          <w:tcPr>
            <w:tcW w:w="680" w:type="dxa"/>
            <w:shd w:val="clear" w:color="auto" w:fill="FFFFFF"/>
            <w:noWrap w:val="0"/>
            <w:vAlign w:val="center"/>
          </w:tcPr>
          <w:p>
            <w:pPr>
              <w:widowControl/>
              <w:jc w:val="center"/>
              <w:textAlignment w:val="center"/>
              <w:rPr>
                <w:rFonts w:eastAsia="仿宋_GB2312"/>
                <w:kern w:val="0"/>
                <w:sz w:val="24"/>
              </w:rPr>
            </w:pPr>
            <w:r>
              <w:rPr>
                <w:rFonts w:hint="eastAsia" w:eastAsia="仿宋_GB2312"/>
                <w:kern w:val="0"/>
                <w:sz w:val="24"/>
              </w:rPr>
              <w:t>16</w:t>
            </w:r>
          </w:p>
        </w:tc>
        <w:tc>
          <w:tcPr>
            <w:tcW w:w="3812" w:type="dxa"/>
            <w:noWrap w:val="0"/>
            <w:vAlign w:val="center"/>
          </w:tcPr>
          <w:p>
            <w:pPr>
              <w:widowControl/>
              <w:textAlignment w:val="center"/>
              <w:rPr>
                <w:rFonts w:eastAsia="仿宋_GB2312"/>
                <w:kern w:val="0"/>
                <w:sz w:val="24"/>
              </w:rPr>
            </w:pPr>
            <w:r>
              <w:rPr>
                <w:rFonts w:eastAsia="仿宋_GB2312"/>
                <w:kern w:val="0"/>
                <w:sz w:val="24"/>
              </w:rPr>
              <w:t>建设行业注册类人员（二级注册建筑师）执业资格的确认（初始、延续、变更注册）</w:t>
            </w:r>
          </w:p>
        </w:tc>
        <w:tc>
          <w:tcPr>
            <w:tcW w:w="1633" w:type="dxa"/>
            <w:noWrap w:val="0"/>
            <w:vAlign w:val="center"/>
          </w:tcPr>
          <w:p>
            <w:pPr>
              <w:widowControl/>
              <w:jc w:val="center"/>
              <w:textAlignment w:val="center"/>
              <w:rPr>
                <w:rFonts w:eastAsia="仿宋_GB2312"/>
                <w:kern w:val="0"/>
                <w:sz w:val="24"/>
              </w:rPr>
            </w:pPr>
            <w:r>
              <w:rPr>
                <w:rFonts w:eastAsia="仿宋_GB2312"/>
                <w:kern w:val="0"/>
                <w:sz w:val="24"/>
              </w:rPr>
              <w:t>省住房和城乡建设厅</w:t>
            </w:r>
          </w:p>
        </w:tc>
        <w:tc>
          <w:tcPr>
            <w:tcW w:w="2400" w:type="dxa"/>
            <w:noWrap w:val="0"/>
            <w:vAlign w:val="center"/>
          </w:tcPr>
          <w:p>
            <w:pPr>
              <w:widowControl/>
              <w:rPr>
                <w:rFonts w:eastAsia="仿宋_GB2312"/>
                <w:kern w:val="0"/>
                <w:sz w:val="24"/>
              </w:rPr>
            </w:pPr>
            <w:r>
              <w:rPr>
                <w:rFonts w:eastAsia="仿宋_GB2312"/>
                <w:kern w:val="0"/>
                <w:sz w:val="24"/>
              </w:rPr>
              <w:t>洋浦经济开发区、海口江东新区、海口国家高新技术产业开发区、海口综合保税区、三亚中央商务区、海南生态软件园、陵水黎安国际教育创新试验区</w:t>
            </w:r>
          </w:p>
        </w:tc>
        <w:tc>
          <w:tcPr>
            <w:tcW w:w="1198" w:type="dxa"/>
            <w:noWrap w:val="0"/>
            <w:vAlign w:val="center"/>
          </w:tcPr>
          <w:p>
            <w:pPr>
              <w:widowControl/>
              <w:jc w:val="center"/>
              <w:rPr>
                <w:rFonts w:hint="eastAsia" w:eastAsia="仿宋_GB2312"/>
                <w:kern w:val="0"/>
                <w:sz w:val="24"/>
              </w:rPr>
            </w:pPr>
            <w:r>
              <w:rPr>
                <w:rFonts w:hint="eastAsia" w:ascii="仿宋_GB2312" w:hAnsi="仿宋_GB2312" w:eastAsia="仿宋_GB2312" w:cs="仿宋_GB2312"/>
                <w:kern w:val="0"/>
                <w:sz w:val="24"/>
              </w:rPr>
              <w:t>委托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3502" w:hRule="atLeast"/>
          <w:jc w:val="center"/>
        </w:trPr>
        <w:tc>
          <w:tcPr>
            <w:tcW w:w="680" w:type="dxa"/>
            <w:shd w:val="clear" w:color="auto" w:fill="FFFFFF"/>
            <w:noWrap w:val="0"/>
            <w:vAlign w:val="center"/>
          </w:tcPr>
          <w:p>
            <w:pPr>
              <w:widowControl/>
              <w:jc w:val="center"/>
              <w:textAlignment w:val="center"/>
              <w:rPr>
                <w:rFonts w:eastAsia="仿宋_GB2312"/>
                <w:sz w:val="24"/>
              </w:rPr>
            </w:pPr>
            <w:r>
              <w:rPr>
                <w:rFonts w:hint="eastAsia" w:eastAsia="仿宋_GB2312"/>
                <w:kern w:val="0"/>
                <w:sz w:val="24"/>
              </w:rPr>
              <w:t>17</w:t>
            </w:r>
          </w:p>
        </w:tc>
        <w:tc>
          <w:tcPr>
            <w:tcW w:w="3812" w:type="dxa"/>
            <w:noWrap w:val="0"/>
            <w:vAlign w:val="center"/>
          </w:tcPr>
          <w:p>
            <w:pPr>
              <w:widowControl/>
              <w:textAlignment w:val="center"/>
              <w:rPr>
                <w:rFonts w:eastAsia="仿宋_GB2312"/>
                <w:sz w:val="24"/>
              </w:rPr>
            </w:pPr>
            <w:r>
              <w:rPr>
                <w:rFonts w:eastAsia="仿宋_GB2312"/>
                <w:kern w:val="0"/>
                <w:sz w:val="24"/>
              </w:rPr>
              <w:t>超限高层建筑工程抗震设防核准</w:t>
            </w:r>
          </w:p>
        </w:tc>
        <w:tc>
          <w:tcPr>
            <w:tcW w:w="1633" w:type="dxa"/>
            <w:noWrap w:val="0"/>
            <w:vAlign w:val="center"/>
          </w:tcPr>
          <w:p>
            <w:pPr>
              <w:widowControl/>
              <w:jc w:val="center"/>
              <w:textAlignment w:val="center"/>
              <w:rPr>
                <w:rFonts w:eastAsia="仿宋_GB2312"/>
                <w:sz w:val="24"/>
              </w:rPr>
            </w:pPr>
            <w:r>
              <w:rPr>
                <w:rFonts w:eastAsia="仿宋_GB2312"/>
                <w:kern w:val="0"/>
                <w:sz w:val="24"/>
              </w:rPr>
              <w:t>省住房和城乡建设厅</w:t>
            </w:r>
          </w:p>
        </w:tc>
        <w:tc>
          <w:tcPr>
            <w:tcW w:w="2400" w:type="dxa"/>
            <w:noWrap w:val="0"/>
            <w:vAlign w:val="center"/>
          </w:tcPr>
          <w:p>
            <w:pPr>
              <w:widowControl/>
              <w:rPr>
                <w:rFonts w:eastAsia="仿宋_GB2312"/>
                <w:spacing w:val="-6"/>
                <w:sz w:val="24"/>
              </w:rPr>
            </w:pPr>
            <w:r>
              <w:rPr>
                <w:rFonts w:eastAsia="仿宋_GB2312"/>
                <w:spacing w:val="-6"/>
                <w:kern w:val="0"/>
                <w:sz w:val="24"/>
              </w:rPr>
              <w:t>洋浦经济开发区、海口江东新区、海口国家高新技术产业开发区、海口综合保税区、三亚崖州湾科技城、三亚中央商务区、文昌国际航天城、海南生态软件园、陵水黎安国际教育创新试验区</w:t>
            </w:r>
          </w:p>
        </w:tc>
        <w:tc>
          <w:tcPr>
            <w:tcW w:w="1198" w:type="dxa"/>
            <w:noWrap w:val="0"/>
            <w:vAlign w:val="center"/>
          </w:tcPr>
          <w:p>
            <w:pPr>
              <w:widowControl/>
              <w:jc w:val="center"/>
              <w:rPr>
                <w:rFonts w:hint="eastAsia" w:eastAsia="仿宋_GB2312"/>
                <w:spacing w:val="-6"/>
                <w:kern w:val="0"/>
                <w:sz w:val="24"/>
              </w:rPr>
            </w:pPr>
            <w:r>
              <w:rPr>
                <w:rFonts w:hint="eastAsia" w:ascii="仿宋_GB2312" w:hAnsi="仿宋_GB2312" w:eastAsia="仿宋_GB2312" w:cs="仿宋_GB2312"/>
                <w:kern w:val="0"/>
                <w:sz w:val="24"/>
              </w:rPr>
              <w:t>委托</w:t>
            </w:r>
          </w:p>
        </w:tc>
      </w:tr>
    </w:tbl>
    <w:p/>
    <w:p>
      <w:pPr>
        <w:adjustRightInd w:val="0"/>
        <w:snapToGrid w:val="0"/>
        <w:spacing w:line="640" w:lineRule="exact"/>
        <w:jc w:val="center"/>
        <w:rPr>
          <w:rFonts w:hint="eastAsia" w:ascii="方正小标宋简体" w:hAnsi="方正小标宋简体" w:eastAsia="方正小标宋简体" w:cs="方正小标宋简体"/>
          <w:sz w:val="42"/>
          <w:szCs w:val="42"/>
          <w:lang w:bidi="ar-SA"/>
        </w:rPr>
      </w:pPr>
    </w:p>
    <w:p>
      <w:pPr>
        <w:adjustRightInd w:val="0"/>
        <w:snapToGrid w:val="0"/>
        <w:spacing w:line="640" w:lineRule="exact"/>
        <w:jc w:val="center"/>
        <w:rPr>
          <w:rFonts w:hint="eastAsia" w:ascii="方正小标宋简体" w:hAnsi="方正小标宋简体" w:eastAsia="方正小标宋简体" w:cs="方正小标宋简体"/>
          <w:sz w:val="42"/>
          <w:szCs w:val="42"/>
          <w:lang w:bidi="ar-SA"/>
        </w:rPr>
      </w:pPr>
    </w:p>
    <w:p>
      <w:pPr>
        <w:adjustRightInd w:val="0"/>
        <w:snapToGrid w:val="0"/>
        <w:spacing w:line="640" w:lineRule="exact"/>
        <w:jc w:val="center"/>
        <w:rPr>
          <w:rFonts w:hint="eastAsia" w:ascii="方正小标宋简体" w:hAnsi="方正小标宋简体" w:eastAsia="方正小标宋简体" w:cs="方正小标宋简体"/>
          <w:sz w:val="42"/>
          <w:szCs w:val="42"/>
          <w:lang w:bidi="ar-SA"/>
        </w:rPr>
      </w:pPr>
    </w:p>
    <w:p>
      <w:pPr>
        <w:adjustRightInd w:val="0"/>
        <w:snapToGrid w:val="0"/>
        <w:spacing w:line="640" w:lineRule="exact"/>
        <w:jc w:val="center"/>
        <w:rPr>
          <w:rFonts w:hint="eastAsia" w:ascii="方正小标宋简体" w:hAnsi="方正小标宋简体" w:eastAsia="方正小标宋简体" w:cs="方正小标宋简体"/>
          <w:sz w:val="42"/>
          <w:szCs w:val="42"/>
          <w:lang w:bidi="ar-SA"/>
        </w:rPr>
      </w:pPr>
    </w:p>
    <w:p>
      <w:pPr>
        <w:adjustRightInd w:val="0"/>
        <w:snapToGrid w:val="0"/>
        <w:spacing w:line="640" w:lineRule="exact"/>
        <w:jc w:val="center"/>
        <w:rPr>
          <w:rFonts w:hint="eastAsia" w:ascii="方正小标宋简体" w:hAnsi="方正小标宋简体" w:eastAsia="方正小标宋简体" w:cs="方正小标宋简体"/>
          <w:sz w:val="42"/>
          <w:szCs w:val="42"/>
          <w:lang w:bidi="ar-S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E4F86"/>
    <w:rsid w:val="0FDE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2021-08-25T02:30:00Z</dcterms:created>
  <dc:creator>法工委（收发员）</dc:creator>
  <cp:lastModifiedBy>法工委（收发员）</cp:lastModifiedBy>
  <dcterms:modified xsi:type="dcterms:W3CDTF">2021-08-25T02:31:18Z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AFC0D339E4144C94B8BC056E47745A0E</vt:lpwstr>
  </property>
</Properties>
</file>