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v:background id="矩形 0">
      <v:fill on="f" color2="#FFFFFF" focus="0%"/>
    </v:background>
  </w:background>
  <w:body>
    <w:p>
      <w:pPr>
        <w:widowControl w:val="0"/>
        <w:wordWrap/>
        <w:adjustRightInd/>
        <w:snapToGrid/>
        <w:spacing w:line="560" w:lineRule="exact"/>
        <w:textAlignment w:val="auto"/>
        <w:rPr>
          <w:rStyle w:val="10"/>
          <w:rFonts w:hint="eastAsia"/>
        </w:rPr>
      </w:pPr>
    </w:p>
    <w:p>
      <w:pPr>
        <w:widowControl w:val="0"/>
        <w:wordWrap/>
        <w:adjustRightInd/>
        <w:snapToGrid/>
        <w:spacing w:line="560" w:lineRule="exact"/>
        <w:textAlignment w:val="auto"/>
        <w:rPr>
          <w:rStyle w:val="10"/>
          <w:rFonts w:hint="eastAsia"/>
        </w:rPr>
      </w:pPr>
    </w:p>
    <w:p>
      <w:pPr>
        <w:pStyle w:val="8"/>
        <w:widowControl w:val="0"/>
        <w:wordWrap/>
        <w:adjustRightInd/>
        <w:snapToGrid/>
        <w:spacing w:line="560" w:lineRule="exact"/>
        <w:textAlignment w:val="auto"/>
        <w:rPr>
          <w:rStyle w:val="10"/>
          <w:rFonts w:hint="eastAsia" w:ascii="宋体" w:hAnsi="宋体" w:eastAsia="宋体" w:cs="宋体"/>
          <w:kern w:val="2"/>
          <w:szCs w:val="24"/>
          <w:lang w:val="en-US" w:eastAsia="zh-CN" w:bidi="ar-SA"/>
        </w:rPr>
      </w:pPr>
      <w:r>
        <w:rPr>
          <w:rStyle w:val="10"/>
          <w:rFonts w:hint="eastAsia" w:ascii="宋体" w:hAnsi="宋体" w:eastAsia="宋体" w:cs="宋体"/>
          <w:kern w:val="2"/>
          <w:szCs w:val="24"/>
          <w:lang w:val="en-US" w:eastAsia="zh-CN" w:bidi="ar-SA"/>
        </w:rPr>
        <w:t>河北省人民代表大会常务委员会</w:t>
      </w:r>
      <w:r>
        <w:rPr>
          <w:rStyle w:val="10"/>
          <w:rFonts w:hint="eastAsia" w:ascii="宋体" w:hAnsi="宋体" w:eastAsia="宋体" w:cs="宋体"/>
          <w:kern w:val="2"/>
          <w:szCs w:val="24"/>
          <w:lang w:val="en-US" w:eastAsia="zh-CN" w:bidi="ar-SA"/>
        </w:rPr>
        <w:br/>
      </w:r>
      <w:r>
        <w:rPr>
          <w:rStyle w:val="10"/>
          <w:rFonts w:hint="eastAsia" w:ascii="宋体" w:hAnsi="宋体" w:eastAsia="宋体" w:cs="宋体"/>
          <w:kern w:val="2"/>
          <w:szCs w:val="24"/>
          <w:lang w:val="en-US" w:eastAsia="zh-CN" w:bidi="ar-SA"/>
        </w:rPr>
        <w:t>关于修改部分法规的决定</w:t>
      </w:r>
    </w:p>
    <w:p>
      <w:pPr>
        <w:pStyle w:val="9"/>
        <w:widowControl w:val="0"/>
        <w:wordWrap/>
        <w:adjustRightInd/>
        <w:snapToGrid/>
        <w:spacing w:line="560" w:lineRule="exact"/>
        <w:textAlignment w:val="auto"/>
        <w:rPr>
          <w:rFonts w:hint="eastAsia"/>
        </w:rPr>
      </w:pPr>
      <w:r>
        <w:rPr>
          <w:rFonts w:hint="eastAsia"/>
        </w:rPr>
        <w:t>（2017年9月28日河北省第十二届人民代表大会</w:t>
      </w:r>
      <w:r>
        <w:rPr>
          <w:rFonts w:hint="eastAsia"/>
        </w:rPr>
        <w:br/>
      </w:r>
      <w:r>
        <w:rPr>
          <w:rFonts w:hint="eastAsia"/>
        </w:rPr>
        <w:t>常务委员会第三十二次会议通过）</w:t>
      </w:r>
    </w:p>
    <w:p>
      <w:pPr>
        <w:widowControl w:val="0"/>
        <w:wordWrap/>
        <w:adjustRightInd/>
        <w:snapToGrid/>
        <w:spacing w:line="560" w:lineRule="exact"/>
        <w:textAlignment w:val="auto"/>
        <w:rPr>
          <w:rFonts w:hint="eastAsia" w:eastAsia="黑体"/>
          <w:lang w:eastAsia="zh-CN"/>
        </w:rPr>
      </w:pPr>
    </w:p>
    <w:p>
      <w:pPr>
        <w:widowControl w:val="0"/>
        <w:wordWrap/>
        <w:adjustRightInd/>
        <w:snapToGrid/>
        <w:spacing w:line="560" w:lineRule="exact"/>
        <w:textAlignment w:val="auto"/>
        <w:rPr>
          <w:rFonts w:hint="eastAsia" w:eastAsia="黑体"/>
          <w:lang w:eastAsia="zh-CN"/>
        </w:rPr>
      </w:pPr>
      <w:r>
        <w:rPr>
          <w:rFonts w:hint="eastAsia"/>
        </w:rPr>
        <w:t>河北省第十二届人民代表大会常务委员会第三十二次会议决定，对下列法规作出修改：</w:t>
      </w:r>
    </w:p>
    <w:p>
      <w:pPr>
        <w:widowControl w:val="0"/>
        <w:wordWrap/>
        <w:adjustRightInd/>
        <w:snapToGrid/>
        <w:spacing w:line="560" w:lineRule="exact"/>
        <w:textAlignment w:val="auto"/>
        <w:rPr>
          <w:rStyle w:val="11"/>
          <w:rFonts w:hint="eastAsia"/>
          <w:lang w:eastAsia="zh-CN"/>
        </w:rPr>
      </w:pPr>
      <w:r>
        <w:rPr>
          <w:rStyle w:val="11"/>
          <w:rFonts w:hint="eastAsia"/>
        </w:rPr>
        <w:t>一、修改《河北省实施〈中华人民共和国防洪法〉办法》</w:t>
      </w:r>
    </w:p>
    <w:p>
      <w:pPr>
        <w:widowControl w:val="0"/>
        <w:wordWrap/>
        <w:adjustRightInd/>
        <w:snapToGrid/>
        <w:spacing w:line="560" w:lineRule="exact"/>
        <w:textAlignment w:val="auto"/>
        <w:rPr>
          <w:rFonts w:hint="eastAsia" w:eastAsia="黑体"/>
          <w:lang w:eastAsia="zh-CN"/>
        </w:rPr>
      </w:pPr>
      <w:r>
        <w:rPr>
          <w:rFonts w:hint="eastAsia"/>
        </w:rPr>
        <w:t>（一）将第十二条第一款修改为：“在河道、淀泊上建防洪工程和其他水工程、水电站等，应当符合防洪规划要求，水库应当按照防洪规划的要求留足防洪库容。”第二款修改为：“前款规定的防洪工程和其他水工程、水电站未取得有关水行政主管部门签署的符合防洪规划要求的规划同意书的，建设单位不得开工建设。”</w:t>
      </w:r>
    </w:p>
    <w:p>
      <w:pPr>
        <w:widowControl w:val="0"/>
        <w:wordWrap/>
        <w:adjustRightInd/>
        <w:snapToGrid/>
        <w:spacing w:line="560" w:lineRule="exact"/>
        <w:textAlignment w:val="auto"/>
        <w:rPr>
          <w:rFonts w:hint="eastAsia" w:eastAsia="黑体"/>
          <w:lang w:eastAsia="zh-CN"/>
        </w:rPr>
      </w:pPr>
      <w:r>
        <w:rPr>
          <w:rFonts w:hint="eastAsia"/>
        </w:rPr>
        <w:t>（二）将第二十条第二款修改为：“工程建设方案未经有管辖权的人民政府水行政主管部门根据防洪要求审查同意的，建设单位不得开工建设。”</w:t>
      </w:r>
    </w:p>
    <w:p>
      <w:pPr>
        <w:widowControl w:val="0"/>
        <w:wordWrap/>
        <w:adjustRightInd/>
        <w:snapToGrid/>
        <w:spacing w:line="560" w:lineRule="exact"/>
        <w:textAlignment w:val="auto"/>
        <w:rPr>
          <w:rFonts w:hint="eastAsia" w:eastAsia="黑体"/>
          <w:lang w:eastAsia="zh-CN"/>
        </w:rPr>
      </w:pPr>
      <w:r>
        <w:rPr>
          <w:rFonts w:hint="eastAsia"/>
        </w:rPr>
        <w:t>（三）将第二十五条第一款修改为：“在洪泛区、蓄滞洪区内严格控制非防洪建设项目。必须建设的，建设单位应当附具洪水影响评价报告。洪水影响评价报告未经有管辖权的人民政府水行政主管部门审查批准的，建设单位不得开工建设。”</w:t>
      </w:r>
    </w:p>
    <w:p>
      <w:pPr>
        <w:widowControl w:val="0"/>
        <w:wordWrap/>
        <w:adjustRightInd/>
        <w:snapToGrid/>
        <w:spacing w:line="560" w:lineRule="exact"/>
        <w:textAlignment w:val="auto"/>
        <w:rPr>
          <w:rFonts w:hint="eastAsia" w:eastAsia="黑体"/>
          <w:lang w:eastAsia="zh-CN"/>
        </w:rPr>
      </w:pPr>
      <w:r>
        <w:rPr>
          <w:rFonts w:hint="eastAsia"/>
        </w:rPr>
        <w:t>（四）将第四十五条修改为：“违反本办法第二十条的规定，未经人民政府水行政主管部门对其工程建设方案审查同意或者未按照审查批准的位置、界限施工，在河道、湖泊管理范围内从事工程设施建设活动的，责令停止违法行为，补办审查同意或者审查批准手续；工程设施建设严重影响防洪的，责令限期拆除，逾期不拆除的，强行拆除，所需费用由建设单位承担；影响行洪但尚可采取补救措施的，责令限期采取补救措施，可以处一万元以上三万元以下的罚款;情节严重的，处三万元以上十万元以下的罚款。”</w:t>
      </w:r>
    </w:p>
    <w:p>
      <w:pPr>
        <w:widowControl w:val="0"/>
        <w:wordWrap/>
        <w:adjustRightInd/>
        <w:snapToGrid/>
        <w:spacing w:line="560" w:lineRule="exact"/>
        <w:textAlignment w:val="auto"/>
        <w:rPr>
          <w:rFonts w:hint="eastAsia" w:eastAsia="黑体"/>
          <w:lang w:eastAsia="zh-CN"/>
        </w:rPr>
      </w:pPr>
      <w:r>
        <w:rPr>
          <w:rFonts w:hint="eastAsia"/>
        </w:rPr>
        <w:t>（五）将第四十六条修改为：“违反本办法第二十一条规定的，责令停止违法行为，排除阻碍或者采取其他补救措施，可以处五万元以下的罚款。”增加一款，作为第二款：“违反本办法第二十五条第一款规定，在洪泛区、蓄滞洪区内建设非防洪建设项目，未编制洪水影响评价报告或者洪水影响评价报告未经审查批准开工建设的，责令限期改正；逾期不改正的，处五万元以下的罚款。”</w:t>
      </w:r>
    </w:p>
    <w:p>
      <w:pPr>
        <w:widowControl w:val="0"/>
        <w:wordWrap/>
        <w:adjustRightInd/>
        <w:snapToGrid/>
        <w:spacing w:line="560" w:lineRule="exact"/>
        <w:textAlignment w:val="auto"/>
        <w:rPr>
          <w:rFonts w:hint="eastAsia" w:eastAsia="黑体"/>
          <w:lang w:eastAsia="zh-CN"/>
        </w:rPr>
      </w:pPr>
      <w:r>
        <w:rPr>
          <w:rFonts w:hint="eastAsia"/>
        </w:rPr>
        <w:t>（六）将第四十七条修改为：“违反本办法第二十七条规定，破坏、侵占、毁损或者擅自使用水文测站的水文设施的，责令停止违法行为，采取补救措施，可以处五万元以下的罚款；造成损坏的，依法承担民事责任；应当给予治安管理处罚的，依照治安管理处罚法的规定处罚；构成犯罪的，依法追究刑事责任。”</w:t>
      </w:r>
    </w:p>
    <w:p>
      <w:pPr>
        <w:widowControl w:val="0"/>
        <w:wordWrap/>
        <w:adjustRightInd/>
        <w:snapToGrid/>
        <w:spacing w:line="560" w:lineRule="exact"/>
        <w:textAlignment w:val="auto"/>
        <w:rPr>
          <w:rFonts w:hint="eastAsia" w:eastAsia="黑体"/>
          <w:lang w:eastAsia="zh-CN"/>
        </w:rPr>
      </w:pPr>
      <w:r>
        <w:rPr>
          <w:rStyle w:val="11"/>
          <w:rFonts w:hint="eastAsia"/>
        </w:rPr>
        <w:t>二、修改《河北省实施〈中华人民共和国各级人民代表大会常务委员会监督法〉办法》</w:t>
      </w:r>
    </w:p>
    <w:p>
      <w:pPr>
        <w:widowControl w:val="0"/>
        <w:wordWrap/>
        <w:adjustRightInd/>
        <w:snapToGrid/>
        <w:spacing w:line="560" w:lineRule="exact"/>
        <w:textAlignment w:val="auto"/>
        <w:rPr>
          <w:rFonts w:hint="eastAsia" w:eastAsia="黑体"/>
          <w:lang w:eastAsia="zh-CN"/>
        </w:rPr>
      </w:pPr>
      <w:r>
        <w:rPr>
          <w:rFonts w:hint="eastAsia"/>
        </w:rPr>
        <w:t>（一）第四十二条增加一款，作为第二款：“设区的市人民政府制定的规章，还应当报送省人民代表大会常务委员会备案。”</w:t>
      </w:r>
    </w:p>
    <w:p>
      <w:pPr>
        <w:widowControl w:val="0"/>
        <w:wordWrap/>
        <w:adjustRightInd/>
        <w:snapToGrid/>
        <w:spacing w:line="560" w:lineRule="exact"/>
        <w:textAlignment w:val="auto"/>
        <w:rPr>
          <w:rFonts w:hint="eastAsia" w:eastAsia="黑体"/>
          <w:lang w:eastAsia="zh-CN"/>
        </w:rPr>
      </w:pPr>
      <w:r>
        <w:rPr>
          <w:rFonts w:hint="eastAsia"/>
        </w:rPr>
        <w:t>（二）删除第四十四条第一款。第二款修改为：“常务委员会指定的备案审查工作机构，承担相应的具体工作，并与常务委员会相关的工作机构共同对规范性文件进行审查。”</w:t>
      </w:r>
    </w:p>
    <w:p>
      <w:pPr>
        <w:widowControl w:val="0"/>
        <w:wordWrap/>
        <w:adjustRightInd/>
        <w:snapToGrid/>
        <w:spacing w:line="560" w:lineRule="exact"/>
        <w:textAlignment w:val="auto"/>
        <w:rPr>
          <w:rFonts w:hint="eastAsia" w:eastAsia="黑体"/>
          <w:lang w:eastAsia="zh-CN"/>
        </w:rPr>
      </w:pPr>
      <w:r>
        <w:rPr>
          <w:rFonts w:hint="eastAsia"/>
        </w:rPr>
        <w:t>（三）将第四十六条修改为：“省、设区的市的人民代表大会常务委员会对地方政府规章的备案审查，依照《河北省各级人民代表大会常务委员会规范性文件备案审查条例》执行。”</w:t>
      </w:r>
    </w:p>
    <w:p>
      <w:pPr>
        <w:widowControl w:val="0"/>
        <w:wordWrap/>
        <w:adjustRightInd/>
        <w:snapToGrid/>
        <w:spacing w:line="560" w:lineRule="exact"/>
        <w:textAlignment w:val="auto"/>
        <w:rPr>
          <w:rFonts w:hint="eastAsia" w:eastAsia="黑体"/>
          <w:lang w:eastAsia="zh-CN"/>
        </w:rPr>
      </w:pPr>
      <w:r>
        <w:rPr>
          <w:rFonts w:hint="eastAsia"/>
        </w:rPr>
        <w:t>（四）将第四十七条中修改为：“常务委员会对需要报送备案的决议、决定和命令的审查内容、程序和具体要求，参照《河北省各级人民代表大会常务委员会规范性文件备案审查条例》有关规定执行。”</w:t>
      </w:r>
    </w:p>
    <w:p>
      <w:pPr>
        <w:widowControl w:val="0"/>
        <w:wordWrap/>
        <w:adjustRightInd/>
        <w:snapToGrid/>
        <w:spacing w:line="560" w:lineRule="exact"/>
        <w:textAlignment w:val="auto"/>
        <w:rPr>
          <w:rFonts w:hint="eastAsia" w:eastAsia="黑体"/>
          <w:lang w:eastAsia="zh-CN"/>
        </w:rPr>
      </w:pPr>
      <w:r>
        <w:rPr>
          <w:rStyle w:val="11"/>
          <w:rFonts w:hint="eastAsia"/>
        </w:rPr>
        <w:t>三、修改《河北省档案工作条例》</w:t>
      </w:r>
    </w:p>
    <w:p>
      <w:pPr>
        <w:widowControl w:val="0"/>
        <w:wordWrap/>
        <w:adjustRightInd/>
        <w:snapToGrid/>
        <w:spacing w:line="560" w:lineRule="exact"/>
        <w:textAlignment w:val="auto"/>
        <w:rPr>
          <w:rFonts w:hint="eastAsia" w:eastAsia="黑体"/>
          <w:lang w:eastAsia="zh-CN"/>
        </w:rPr>
      </w:pPr>
      <w:r>
        <w:rPr>
          <w:rFonts w:hint="eastAsia"/>
        </w:rPr>
        <w:t>（一）删除第二十七条。</w:t>
      </w:r>
    </w:p>
    <w:p>
      <w:pPr>
        <w:widowControl w:val="0"/>
        <w:wordWrap/>
        <w:adjustRightInd/>
        <w:snapToGrid/>
        <w:spacing w:line="560" w:lineRule="exact"/>
        <w:textAlignment w:val="auto"/>
        <w:rPr>
          <w:rFonts w:hint="eastAsia" w:eastAsia="黑体"/>
          <w:lang w:eastAsia="zh-CN"/>
        </w:rPr>
      </w:pPr>
      <w:r>
        <w:rPr>
          <w:rFonts w:hint="eastAsia"/>
        </w:rPr>
        <w:t>（二）将第三十七条第一款第四项修改为：“（四）违反本条例第二十五条、第二十六条规定，擅自出卖或者转让档案的”。第一款第七项修改为：“（七）有本条例第三十五条所列第一项、第二项、第三项违法行为之一，拒不改正的”。</w:t>
      </w:r>
    </w:p>
    <w:p>
      <w:pPr>
        <w:widowControl w:val="0"/>
        <w:wordWrap/>
        <w:adjustRightInd/>
        <w:snapToGrid/>
        <w:spacing w:line="560" w:lineRule="exact"/>
        <w:textAlignment w:val="auto"/>
        <w:rPr>
          <w:rFonts w:hint="eastAsia" w:eastAsia="黑体"/>
          <w:lang w:eastAsia="zh-CN"/>
        </w:rPr>
      </w:pPr>
      <w:r>
        <w:rPr>
          <w:rStyle w:val="11"/>
          <w:rFonts w:hint="eastAsia"/>
        </w:rPr>
        <w:t>四、修改《河北省计量监督管理条例》</w:t>
      </w:r>
    </w:p>
    <w:p>
      <w:pPr>
        <w:widowControl w:val="0"/>
        <w:wordWrap/>
        <w:adjustRightInd/>
        <w:snapToGrid/>
        <w:spacing w:line="560" w:lineRule="exact"/>
        <w:textAlignment w:val="auto"/>
        <w:rPr>
          <w:rFonts w:hint="eastAsia" w:eastAsia="黑体"/>
          <w:lang w:eastAsia="zh-CN"/>
        </w:rPr>
      </w:pPr>
      <w:r>
        <w:rPr>
          <w:rFonts w:hint="eastAsia"/>
        </w:rPr>
        <w:t>将第十五条第二项修改为：“计量检定人员必须经考核合格”。</w:t>
      </w:r>
    </w:p>
    <w:p>
      <w:pPr>
        <w:widowControl w:val="0"/>
        <w:wordWrap/>
        <w:adjustRightInd/>
        <w:snapToGrid/>
        <w:spacing w:line="560" w:lineRule="exact"/>
        <w:textAlignment w:val="auto"/>
        <w:rPr>
          <w:rStyle w:val="11"/>
          <w:rFonts w:hint="eastAsia"/>
          <w:lang w:eastAsia="zh-CN"/>
        </w:rPr>
      </w:pPr>
      <w:r>
        <w:rPr>
          <w:rStyle w:val="11"/>
          <w:rFonts w:hint="eastAsia"/>
        </w:rPr>
        <w:t>五、修改《河北省爱国卫生条例》</w:t>
      </w:r>
    </w:p>
    <w:p>
      <w:pPr>
        <w:widowControl w:val="0"/>
        <w:wordWrap/>
        <w:adjustRightInd/>
        <w:snapToGrid/>
        <w:spacing w:line="560" w:lineRule="exact"/>
        <w:textAlignment w:val="auto"/>
        <w:rPr>
          <w:rFonts w:hint="eastAsia" w:eastAsia="黑体"/>
          <w:lang w:eastAsia="zh-CN"/>
        </w:rPr>
      </w:pPr>
      <w:r>
        <w:rPr>
          <w:rFonts w:hint="eastAsia"/>
        </w:rPr>
        <w:t>将第十五条修改为：“城市市区内禁止饲养鸡、鸭、鹅、兔、羊、猪等家禽家畜，城市市区和县城内禁止饲养大型犬和烈性犬。因科学研究、教学和其他特殊情况需要饲养的除外。”</w:t>
      </w:r>
    </w:p>
    <w:p>
      <w:pPr>
        <w:pStyle w:val="7"/>
        <w:widowControl w:val="0"/>
        <w:wordWrap/>
        <w:adjustRightInd/>
        <w:snapToGrid/>
        <w:spacing w:line="560" w:lineRule="exact"/>
        <w:textAlignment w:val="auto"/>
        <w:rPr>
          <w:rFonts w:hint="eastAsia"/>
          <w:lang w:eastAsia="zh-CN"/>
        </w:rPr>
      </w:pPr>
      <w:r>
        <w:rPr>
          <w:rFonts w:hint="eastAsia"/>
        </w:rPr>
        <w:t>六、修改《河北省城市市容和环境卫生条例》</w:t>
      </w:r>
    </w:p>
    <w:p>
      <w:pPr>
        <w:widowControl w:val="0"/>
        <w:wordWrap/>
        <w:adjustRightInd/>
        <w:snapToGrid/>
        <w:spacing w:line="560" w:lineRule="exact"/>
        <w:textAlignment w:val="auto"/>
        <w:rPr>
          <w:rFonts w:hint="eastAsia"/>
        </w:rPr>
      </w:pPr>
      <w:r>
        <w:rPr>
          <w:rFonts w:hint="eastAsia"/>
        </w:rPr>
        <w:t>将第三十七条第一款修改为：“禁止在市区内饲养鸡、鸭、鹅、兔、羊、猪等家畜、家禽。因教学、科研以及特殊情况确需饲养的除外。违反规定的，予以警告，责令限期处理；逾期不处理的，予以没收，并处以每只二十元以上一百元以下罚款。”</w:t>
      </w:r>
    </w:p>
    <w:p>
      <w:pPr>
        <w:pStyle w:val="7"/>
        <w:widowControl w:val="0"/>
        <w:wordWrap/>
        <w:adjustRightInd/>
        <w:snapToGrid/>
        <w:spacing w:line="560" w:lineRule="exact"/>
        <w:textAlignment w:val="auto"/>
        <w:rPr>
          <w:rFonts w:hint="eastAsia" w:eastAsia="黑体"/>
          <w:lang w:eastAsia="zh-CN"/>
        </w:rPr>
      </w:pPr>
      <w:r>
        <w:rPr>
          <w:rFonts w:hint="eastAsia"/>
          <w:lang w:eastAsia="zh-CN"/>
        </w:rPr>
        <w:t>七、</w:t>
      </w:r>
      <w:r>
        <w:rPr>
          <w:rFonts w:hint="eastAsia"/>
        </w:rPr>
        <w:t>修改《河北省食盐加碘消除碘缺乏危害监督管理条例》</w:t>
      </w:r>
    </w:p>
    <w:p>
      <w:pPr>
        <w:widowControl w:val="0"/>
        <w:wordWrap/>
        <w:adjustRightInd/>
        <w:snapToGrid/>
        <w:spacing w:line="560" w:lineRule="exact"/>
        <w:textAlignment w:val="auto"/>
        <w:rPr>
          <w:rFonts w:hint="eastAsia" w:eastAsia="黑体"/>
          <w:lang w:eastAsia="zh-CN"/>
        </w:rPr>
      </w:pPr>
      <w:r>
        <w:rPr>
          <w:rFonts w:hint="eastAsia"/>
        </w:rPr>
        <w:t>将第十七条修改为：“为防治疾病，在碘盐中需要添加其他营养强化剂或者药物的，应当符合《中华人民共和国食品安全法》的相关规定，并标明其销售范围。”</w:t>
      </w:r>
    </w:p>
    <w:p>
      <w:pPr>
        <w:widowControl w:val="0"/>
        <w:wordWrap/>
        <w:adjustRightInd/>
        <w:snapToGrid/>
        <w:spacing w:line="560" w:lineRule="exact"/>
        <w:textAlignment w:val="auto"/>
        <w:rPr>
          <w:rFonts w:hint="eastAsia" w:ascii="Calibri" w:hAnsi="Calibri" w:eastAsia="黑体" w:cs="Times New Roman"/>
          <w:kern w:val="2"/>
          <w:sz w:val="32"/>
          <w:szCs w:val="24"/>
          <w:lang w:val="en-US" w:eastAsia="zh-CN" w:bidi="ar-SA"/>
        </w:rPr>
      </w:pPr>
      <w:r>
        <w:rPr>
          <w:rFonts w:hint="eastAsia" w:ascii="Calibri" w:hAnsi="Calibri" w:eastAsia="黑体" w:cs="Times New Roman"/>
          <w:kern w:val="2"/>
          <w:sz w:val="32"/>
          <w:szCs w:val="24"/>
          <w:lang w:val="en-US" w:eastAsia="zh-CN" w:bidi="ar-SA"/>
        </w:rPr>
        <w:t>八、修改《河北省地震安全性评价管理条例》</w:t>
      </w:r>
    </w:p>
    <w:p>
      <w:pPr>
        <w:widowControl w:val="0"/>
        <w:wordWrap/>
        <w:adjustRightInd/>
        <w:snapToGrid/>
        <w:spacing w:line="560" w:lineRule="exact"/>
        <w:textAlignment w:val="auto"/>
        <w:rPr>
          <w:rFonts w:hint="eastAsia" w:eastAsia="黑体"/>
          <w:lang w:eastAsia="zh-CN"/>
        </w:rPr>
      </w:pPr>
      <w:r>
        <w:rPr>
          <w:rFonts w:hint="eastAsia"/>
        </w:rPr>
        <w:t>（一）将第六条第一款修改为：“依法应当进行地震安全性评价的建设工程按照国家标准确定地震安全性评价工作级别。”删除第二款。</w:t>
      </w:r>
    </w:p>
    <w:p>
      <w:pPr>
        <w:widowControl w:val="0"/>
        <w:wordWrap/>
        <w:adjustRightInd/>
        <w:snapToGrid/>
        <w:spacing w:line="560" w:lineRule="exact"/>
        <w:textAlignment w:val="auto"/>
        <w:rPr>
          <w:rFonts w:hint="eastAsia" w:eastAsia="黑体"/>
          <w:lang w:eastAsia="zh-CN"/>
        </w:rPr>
      </w:pPr>
      <w:r>
        <w:rPr>
          <w:rFonts w:hint="eastAsia"/>
        </w:rPr>
        <w:t>（二）将第十条第一款修改为：“地震安全性评价单位对建设工程进行地震安全性评价后，应当编制该建设工程的地震安全性评价报告。”删除第二款。</w:t>
      </w:r>
    </w:p>
    <w:p>
      <w:pPr>
        <w:widowControl w:val="0"/>
        <w:wordWrap/>
        <w:adjustRightInd/>
        <w:snapToGrid/>
        <w:spacing w:line="560" w:lineRule="exact"/>
        <w:textAlignment w:val="auto"/>
        <w:rPr>
          <w:rFonts w:hint="eastAsia" w:eastAsia="黑体"/>
          <w:lang w:eastAsia="zh-CN"/>
        </w:rPr>
      </w:pPr>
      <w:r>
        <w:rPr>
          <w:rStyle w:val="11"/>
          <w:rFonts w:hint="eastAsia"/>
        </w:rPr>
        <w:t>九、修改《河北省国家建设项目审计条例》</w:t>
      </w:r>
    </w:p>
    <w:p>
      <w:pPr>
        <w:widowControl w:val="0"/>
        <w:wordWrap/>
        <w:adjustRightInd/>
        <w:snapToGrid/>
        <w:spacing w:line="560" w:lineRule="exact"/>
        <w:textAlignment w:val="auto"/>
        <w:rPr>
          <w:rFonts w:hint="eastAsia" w:eastAsia="黑体"/>
          <w:lang w:eastAsia="zh-CN"/>
        </w:rPr>
      </w:pPr>
      <w:r>
        <w:rPr>
          <w:rFonts w:hint="eastAsia"/>
        </w:rPr>
        <w:t>（一）将第二十一条修改为：“国家建设项目必须经过竣工决算审计。”</w:t>
      </w:r>
    </w:p>
    <w:p>
      <w:pPr>
        <w:widowControl w:val="0"/>
        <w:wordWrap/>
        <w:adjustRightInd/>
        <w:snapToGrid/>
        <w:spacing w:line="560" w:lineRule="exact"/>
        <w:textAlignment w:val="auto"/>
        <w:rPr>
          <w:rFonts w:hint="eastAsia" w:eastAsia="黑体"/>
          <w:lang w:eastAsia="zh-CN"/>
        </w:rPr>
      </w:pPr>
      <w:r>
        <w:rPr>
          <w:rFonts w:hint="eastAsia"/>
        </w:rPr>
        <w:t>（二）将第二十二条修改为：“建设单位在订立与国家建设项目有关的各项施工合同或者组织招投标时，可以在合同中约定或者在招标文件中载明以审计结果作为竣工结算的依据。”</w:t>
      </w:r>
    </w:p>
    <w:p>
      <w:pPr>
        <w:widowControl w:val="0"/>
        <w:wordWrap/>
        <w:adjustRightInd/>
        <w:snapToGrid/>
        <w:spacing w:line="560" w:lineRule="exact"/>
        <w:textAlignment w:val="auto"/>
        <w:rPr>
          <w:rFonts w:hint="eastAsia" w:eastAsia="黑体"/>
          <w:lang w:eastAsia="zh-CN"/>
        </w:rPr>
      </w:pPr>
      <w:r>
        <w:rPr>
          <w:rFonts w:hint="eastAsia"/>
        </w:rPr>
        <w:t>根据本决定对上述九部法规作相应修改后，重新公布。</w:t>
      </w:r>
    </w:p>
    <w:p>
      <w:pPr>
        <w:widowControl w:val="0"/>
        <w:wordWrap/>
        <w:adjustRightInd/>
        <w:snapToGrid/>
        <w:spacing w:line="560" w:lineRule="exact"/>
        <w:textAlignment w:val="auto"/>
        <w:rPr>
          <w:rFonts w:hint="eastAsia"/>
        </w:rPr>
      </w:pPr>
      <w:r>
        <w:rPr>
          <w:rFonts w:hint="eastAsia"/>
        </w:rPr>
        <w:t>本决定自公布之日起施行。</w:t>
      </w:r>
      <w:r>
        <w:rPr>
          <w:rFonts w:hint="eastAsia"/>
        </w:rPr>
        <w:br/>
      </w:r>
    </w:p>
    <w:p>
      <w:pPr>
        <w:widowControl w:val="0"/>
        <w:wordWrap/>
        <w:adjustRightInd/>
        <w:snapToGrid/>
        <w:spacing w:line="560" w:lineRule="exact"/>
        <w:textAlignment w:val="auto"/>
        <w:rPr>
          <w:rFonts w:hint="eastAsia"/>
        </w:rPr>
      </w:pPr>
      <w:bookmarkStart w:id="0" w:name="_GoBack"/>
      <w:bookmarkEnd w:id="0"/>
    </w:p>
    <w:sectPr>
      <w:footerReference r:id="rId4" w:type="default"/>
      <w:pgSz w:w="11906" w:h="16838"/>
      <w:pgMar w:top="2098" w:right="1531" w:bottom="2098" w:left="1531" w:header="851" w:footer="992" w:gutter="0"/>
      <w:paperSrc w:first="0" w:other="0"/>
      <w:cols w:space="720"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方正小标宋简体">
    <w:panose1 w:val="02010601030101010101"/>
    <w:charset w:val="86"/>
    <w:family w:val="auto"/>
    <w:pitch w:val="default"/>
    <w:sig w:usb0="00000001" w:usb1="080E0000" w:usb2="00000000" w:usb3="00000000" w:csb0="0004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pPr>
    <w:r>
      <w:rPr>
        <w:rFonts w:ascii="Calibri" w:hAnsi="Calibri" w:eastAsia="仿宋" w:cs="Times New Roman"/>
        <w:kern w:val="2"/>
        <w:sz w:val="18"/>
        <w:szCs w:val="24"/>
        <w:lang w:val="en-US" w:eastAsia="zh-CN" w:bidi="ar-SA"/>
      </w:rPr>
      <w:pict>
        <v:shape id="文本框 1" o:spid="_x0000_s1025" type="#_x0000_t202" style="position:absolute;left:0;margin-top:0pt;height:144pt;width:144pt;mso-position-horizontal:center;mso-position-horizontal-relative:margin;mso-wrap-style:none;rotation:0f;z-index:25165824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pStyle w:val="2"/>
                  <w:rPr>
                    <w:rFonts w:hint="eastAsia" w:eastAsia="仿宋"/>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2"/>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spacing w:line="560" w:lineRule="exact"/>
      <w:ind w:firstLine="640" w:firstLineChars="200"/>
      <w:jc w:val="both"/>
    </w:pPr>
    <w:rPr>
      <w:rFonts w:ascii="Calibri" w:hAnsi="Calibri" w:eastAsia="仿宋" w:cs="Times New Roman"/>
      <w:kern w:val="2"/>
      <w:sz w:val="32"/>
      <w:szCs w:val="24"/>
      <w:lang w:val="en-US" w:eastAsia="zh-CN" w:bidi="ar-SA"/>
    </w:rPr>
  </w:style>
  <w:style w:type="character" w:default="1" w:styleId="5">
    <w:name w:val="Default Paragraph Font"/>
    <w:semiHidden/>
    <w:qFormat/>
    <w:uiPriority w:val="0"/>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100" w:beforeAutospacing="1" w:after="100" w:afterAutospacing="1"/>
      <w:ind w:left="0" w:right="0"/>
      <w:jc w:val="left"/>
    </w:pPr>
    <w:rPr>
      <w:kern w:val="0"/>
      <w:sz w:val="24"/>
      <w:lang w:val="en-US" w:eastAsia="zh-CN"/>
    </w:rPr>
  </w:style>
  <w:style w:type="paragraph" w:customStyle="1" w:styleId="6">
    <w:name w:val="章标题"/>
    <w:basedOn w:val="1"/>
    <w:uiPriority w:val="0"/>
    <w:pPr>
      <w:spacing w:beforeLines="50" w:afterLines="50"/>
      <w:ind w:firstLine="0" w:firstLineChars="0"/>
      <w:jc w:val="center"/>
    </w:pPr>
    <w:rPr>
      <w:rFonts w:eastAsia="黑体"/>
    </w:rPr>
  </w:style>
  <w:style w:type="paragraph" w:customStyle="1" w:styleId="7">
    <w:name w:val="二级标题"/>
    <w:basedOn w:val="1"/>
    <w:uiPriority w:val="0"/>
    <w:rPr>
      <w:rFonts w:eastAsia="黑体"/>
    </w:rPr>
  </w:style>
  <w:style w:type="paragraph" w:customStyle="1" w:styleId="8">
    <w:name w:val="大标题"/>
    <w:basedOn w:val="1"/>
    <w:link w:val="10"/>
    <w:uiPriority w:val="0"/>
    <w:pPr>
      <w:spacing w:line="600" w:lineRule="exact"/>
      <w:ind w:firstLine="0" w:firstLineChars="0"/>
      <w:jc w:val="center"/>
      <w:outlineLvl w:val="0"/>
    </w:pPr>
    <w:rPr>
      <w:rFonts w:eastAsia="方正小标宋简体"/>
      <w:sz w:val="44"/>
    </w:rPr>
  </w:style>
  <w:style w:type="paragraph" w:customStyle="1" w:styleId="9">
    <w:name w:val="一级标题"/>
    <w:basedOn w:val="1"/>
    <w:next w:val="1"/>
    <w:uiPriority w:val="0"/>
    <w:pPr>
      <w:ind w:firstLine="0" w:firstLineChars="0"/>
      <w:jc w:val="center"/>
    </w:pPr>
  </w:style>
  <w:style w:type="character" w:customStyle="1" w:styleId="10">
    <w:name w:val="大标题 Char Char"/>
    <w:link w:val="8"/>
    <w:uiPriority w:val="0"/>
    <w:rPr>
      <w:rFonts w:eastAsia="方正小标宋简体"/>
      <w:sz w:val="44"/>
    </w:rPr>
  </w:style>
  <w:style w:type="character" w:customStyle="1" w:styleId="11">
    <w:name w:val="黑体"/>
    <w:basedOn w:val="5"/>
    <w:uiPriority w:val="0"/>
    <w:rPr>
      <w:rFonts w:ascii="Times New Roman" w:hAnsi="Times New Roman" w:eastAsia="黑体"/>
      <w:sz w:val="32"/>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footer" Target="footer1.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e</Company>
  <Pages>1</Pages>
  <Words>0</Words>
  <Characters>0</Characters>
  <Lines>0</Lines>
  <Paragraphs>0</Paragraphs>
  <TotalTime>0</TotalTime>
  <ScaleCrop>false</ScaleCrop>
  <LinksUpToDate>false</LinksUpToDate>
  <CharactersWithSpaces>0</CharactersWithSpaces>
  <Application>WPS Office 专业版_9.1.0.4337_{F1E327BC-269C-435d-A152-05C5408002CA}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2022-02-24T08:17:00Z</dcterms:created>
  <dc:creator>computer18</dc:creator>
  <cp:lastModifiedBy>lenovo</cp:lastModifiedBy>
  <dcterms:modified xsi:type="dcterms:W3CDTF">2022-03-03T07:56:59Z</dcterms:modified>
  <dc:title>_x000B_</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2052-9.1.0.4337</vt:lpwstr>
  </property>
</Properties>
</file>