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F06AB9" Type="http://schemas.openxmlformats.org/officeDocument/2006/relationships/officeDocument" Target="/word/document.xml" /><Relationship Id="coreR30F06AB9" Type="http://schemas.openxmlformats.org/package/2006/relationships/metadata/core-properties" Target="/docProps/core.xml" /><Relationship Id="customR30F06A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武汉市专利管理条例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日武汉市第十届人民代表大会常务委员会第二十二次会议通过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日湖北省第九届人民代表大会常务委员会第二十二次会议批准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为了加强专利管理，保障专利权人和有关公民、法人及其他组</w:t>
      </w:r>
      <w:r>
        <w:rPr>
          <w:rStyle w:val="C3"/>
          <w:rFonts w:ascii="仿宋_GB2312" w:hAnsi="仿宋_GB2312"/>
          <w:sz w:val="32"/>
        </w:rPr>
        <w:t xml:space="preserve"> </w:t>
      </w:r>
      <w:r>
        <w:rPr>
          <w:rStyle w:val="C3"/>
          <w:rFonts w:ascii="Microsoft YaHei UI" w:hAnsi="Microsoft YaHei UI"/>
          <w:sz w:val="32"/>
        </w:rPr>
        <w:t>织的合法权益，鼓励发明创造，促进科学技术进步和创新，根据《中华人民共和国专利法》等法律、法规，结合本市实际，制定本条例。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本市行政区域内的专利申请权和专利权管理、专利实施与许可、专利信息传播利用、专利服务机构管理、专利行政保护及其他与专利管理有关的活动适用本条例。</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市、区人民政府应当加强对专利事业的领导，将专利事业列入</w:t>
      </w:r>
      <w:r>
        <w:rPr>
          <w:rStyle w:val="C3"/>
          <w:rFonts w:ascii="仿宋_GB2312" w:hAnsi="仿宋_GB2312"/>
          <w:sz w:val="32"/>
        </w:rPr>
        <w:t xml:space="preserve"> </w:t>
      </w:r>
      <w:r>
        <w:rPr>
          <w:rStyle w:val="C3"/>
          <w:rFonts w:ascii="Microsoft YaHei UI" w:hAnsi="Microsoft YaHei UI"/>
          <w:sz w:val="32"/>
        </w:rPr>
        <w:t>国民经济和社会发展计划，从经费保障等方面予以支持，建立衡量技术创新能力的专利评价</w:t>
      </w:r>
      <w:r>
        <w:rPr>
          <w:rStyle w:val="C3"/>
          <w:rFonts w:ascii="仿宋_GB2312" w:hAnsi="仿宋_GB2312"/>
          <w:sz w:val="32"/>
        </w:rPr>
        <w:t xml:space="preserve"> </w:t>
      </w:r>
      <w:r>
        <w:rPr>
          <w:rStyle w:val="C3"/>
          <w:rFonts w:ascii="Microsoft YaHei UI" w:hAnsi="Microsoft YaHei UI"/>
          <w:sz w:val="32"/>
        </w:rPr>
        <w:t>制度，协调处理专利管理工作中的重大问题。</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市、区人民政府管理专利工作的部门按照各自的职责负责本行</w:t>
      </w:r>
      <w:r>
        <w:rPr>
          <w:rStyle w:val="C3"/>
          <w:rFonts w:ascii="仿宋_GB2312" w:hAnsi="仿宋_GB2312"/>
          <w:sz w:val="32"/>
        </w:rPr>
        <w:t xml:space="preserve"> </w:t>
      </w:r>
      <w:r>
        <w:rPr>
          <w:rStyle w:val="C3"/>
          <w:rFonts w:ascii="Microsoft YaHei UI" w:hAnsi="Microsoft YaHei UI"/>
          <w:sz w:val="32"/>
        </w:rPr>
        <w:t>政区域内的专利管理工作，其他有关部门按规定的职责做好专利管理工作。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市人民政府设立的专利资助资金，用于对本市行政区域内的公</w:t>
      </w:r>
      <w:r>
        <w:rPr>
          <w:rStyle w:val="C3"/>
          <w:rFonts w:ascii="仿宋_GB2312" w:hAnsi="仿宋_GB2312"/>
          <w:sz w:val="32"/>
        </w:rPr>
        <w:t xml:space="preserve"> </w:t>
      </w:r>
      <w:r>
        <w:rPr>
          <w:rStyle w:val="C3"/>
          <w:rFonts w:ascii="Microsoft YaHei UI" w:hAnsi="Microsoft YaHei UI"/>
          <w:sz w:val="32"/>
        </w:rPr>
        <w:t>民、法人或者其他组织专利申请费、专利申请维持费和专利年费的资助。</w:t>
      </w:r>
    </w:p>
    <w:p>
      <w:pPr>
        <w:pStyle w:val="P1"/>
        <w:spacing w:lineRule="exact" w:line="589"/>
        <w:ind w:firstLine="628"/>
        <w:rPr>
          <w:rStyle w:val="C3"/>
          <w:rFonts w:ascii="仿宋_GB2312" w:hAnsi="仿宋_GB2312"/>
          <w:sz w:val="32"/>
        </w:rPr>
      </w:pPr>
      <w:r>
        <w:rPr>
          <w:rStyle w:val="C3"/>
          <w:rFonts w:ascii="Microsoft YaHei UI" w:hAnsi="Microsoft YaHei UI"/>
          <w:sz w:val="32"/>
        </w:rPr>
        <w:t>专利资助资金管理办法由市人民政府另行规定。</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市设立的专利保护鉴定委员会受市管理专利工作的部门、人民法院、仲裁委员会的委托或者当事人的请求，进行与专利保护范围有关的鉴定工作。</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管理专利工作的部门应当加强对企业事业单位专利工作的指导</w:t>
      </w:r>
      <w:r>
        <w:rPr>
          <w:rStyle w:val="C3"/>
          <w:rFonts w:ascii="仿宋_GB2312" w:hAnsi="仿宋_GB2312"/>
          <w:sz w:val="32"/>
        </w:rPr>
        <w:t xml:space="preserve"> </w:t>
      </w:r>
      <w:r>
        <w:rPr>
          <w:rStyle w:val="C3"/>
          <w:rFonts w:ascii="Microsoft YaHei UI" w:hAnsi="Microsoft YaHei UI"/>
          <w:sz w:val="32"/>
        </w:rPr>
        <w:t>，协助企业事业单位建立专利管理制度。</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企业事业单位在研究开发、技术改造和技术进出口工作中，应</w:t>
      </w:r>
      <w:r>
        <w:rPr>
          <w:rStyle w:val="C3"/>
          <w:rFonts w:ascii="仿宋_GB2312" w:hAnsi="仿宋_GB2312"/>
          <w:sz w:val="32"/>
        </w:rPr>
        <w:t xml:space="preserve"> </w:t>
      </w:r>
      <w:r>
        <w:rPr>
          <w:rStyle w:val="C3"/>
          <w:rFonts w:ascii="Microsoft YaHei UI" w:hAnsi="Microsoft YaHei UI"/>
          <w:sz w:val="32"/>
        </w:rPr>
        <w:t>当进行专利信息跟踪，建立与专利有关的研究开发工作档案，对适合申请专利的发明创造依法及时申请专利。</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有下列情形之一，当事人应当根据平等自愿原则，就专利申请</w:t>
      </w:r>
      <w:r>
        <w:rPr>
          <w:rStyle w:val="C3"/>
          <w:rFonts w:ascii="仿宋_GB2312" w:hAnsi="仿宋_GB2312"/>
          <w:sz w:val="32"/>
        </w:rPr>
        <w:t xml:space="preserve"> </w:t>
      </w:r>
      <w:r>
        <w:rPr>
          <w:rStyle w:val="C3"/>
          <w:rFonts w:ascii="Microsoft YaHei UI" w:hAnsi="Microsoft YaHei UI"/>
          <w:sz w:val="32"/>
        </w:rPr>
        <w:t>权、专利申请费用和专利年费以及利益分配等事项作出约定：</w:t>
      </w:r>
    </w:p>
    <w:p>
      <w:pPr>
        <w:pStyle w:val="P1"/>
        <w:spacing w:lineRule="exact" w:line="589"/>
        <w:ind w:firstLine="628"/>
        <w:rPr>
          <w:rStyle w:val="C3"/>
          <w:rFonts w:ascii="仿宋_GB2312" w:hAnsi="仿宋_GB2312"/>
          <w:sz w:val="32"/>
        </w:rPr>
      </w:pPr>
      <w:r>
        <w:rPr>
          <w:rStyle w:val="C3"/>
          <w:rFonts w:ascii="Microsoft YaHei UI" w:hAnsi="Microsoft YaHei UI"/>
          <w:sz w:val="32"/>
        </w:rPr>
        <w:t>（一）利用本单位的物质技术条件进行发明创造的；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（二）个人兼职进行发明创造的；</w:t>
      </w:r>
    </w:p>
    <w:p>
      <w:pPr>
        <w:pStyle w:val="P1"/>
        <w:spacing w:lineRule="exact" w:line="589"/>
        <w:ind w:firstLine="628"/>
        <w:rPr>
          <w:rStyle w:val="C3"/>
          <w:rFonts w:ascii="仿宋_GB2312" w:hAnsi="仿宋_GB2312"/>
          <w:sz w:val="32"/>
        </w:rPr>
      </w:pPr>
      <w:r>
        <w:rPr>
          <w:rStyle w:val="C3"/>
          <w:rFonts w:ascii="Microsoft YaHei UI" w:hAnsi="Microsoft YaHei UI"/>
          <w:sz w:val="32"/>
        </w:rPr>
        <w:t>（三）合作进行发明创造或者委托进行发明创造的；</w:t>
      </w:r>
    </w:p>
    <w:p>
      <w:pPr>
        <w:pStyle w:val="P1"/>
        <w:spacing w:lineRule="exact" w:line="589"/>
        <w:ind w:firstLine="628"/>
        <w:rPr>
          <w:rStyle w:val="C3"/>
          <w:rFonts w:ascii="仿宋_GB2312" w:hAnsi="仿宋_GB2312"/>
          <w:sz w:val="32"/>
        </w:rPr>
      </w:pPr>
      <w:r>
        <w:rPr>
          <w:rStyle w:val="C3"/>
          <w:rFonts w:ascii="Microsoft YaHei UI" w:hAnsi="Microsoft YaHei UI"/>
          <w:sz w:val="32"/>
        </w:rPr>
        <w:t>（四）在其他单位进修学习期间进行发明创造的；</w:t>
      </w:r>
    </w:p>
    <w:p>
      <w:pPr>
        <w:pStyle w:val="P1"/>
        <w:spacing w:lineRule="exact" w:line="589"/>
        <w:ind w:firstLine="628"/>
        <w:rPr>
          <w:rStyle w:val="C3"/>
          <w:rFonts w:ascii="仿宋_GB2312" w:hAnsi="仿宋_GB2312"/>
          <w:sz w:val="32"/>
        </w:rPr>
      </w:pPr>
      <w:r>
        <w:rPr>
          <w:rStyle w:val="C3"/>
          <w:rFonts w:ascii="Microsoft YaHei UI" w:hAnsi="Microsoft YaHei UI"/>
          <w:sz w:val="32"/>
        </w:rPr>
        <w:t>（五）订立其他科学技术研究与开发合同的。</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单位应当鼓励和支持员工进行发明创造并申请专利，尊重员工非职务发明创造。</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承担职务发明创造的员工退休或者与原单位解除劳动关系前，应当将有关专利申请的全部技术资料归还单位。</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被授予专利权的单位，应当自被授予专利权之日起三个月内，给予发明人或者设计人奖励。</w:t>
      </w:r>
    </w:p>
    <w:p>
      <w:pPr>
        <w:pStyle w:val="P1"/>
        <w:spacing w:lineRule="exact" w:line="589"/>
        <w:ind w:firstLine="628"/>
        <w:rPr>
          <w:rStyle w:val="C3"/>
          <w:rFonts w:ascii="仿宋_GB2312" w:hAnsi="仿宋_GB2312"/>
          <w:sz w:val="32"/>
        </w:rPr>
      </w:pPr>
      <w:r>
        <w:rPr>
          <w:rStyle w:val="C3"/>
          <w:rFonts w:ascii="Microsoft YaHei UI" w:hAnsi="Microsoft YaHei UI"/>
          <w:sz w:val="32"/>
        </w:rPr>
        <w:t>被授予专利权的单位在专利权的有效期限内，每年应当从实施发明或者实用新型专利所得利润纳税后提取不低于５％，或者从实施外观设计专利所得利润纳税后提取不低于２％，作为报酬，给付发明人或者设计人，也可以参照上述比例，一次性给付发明人或者设计人，还可以与发明人或者设计人约定报酬比例。</w:t>
      </w:r>
    </w:p>
    <w:p>
      <w:pPr>
        <w:pStyle w:val="P1"/>
        <w:spacing w:lineRule="exact" w:line="589"/>
        <w:ind w:firstLine="628"/>
        <w:rPr>
          <w:rStyle w:val="C3"/>
          <w:rFonts w:ascii="仿宋_GB2312" w:hAnsi="仿宋_GB2312"/>
          <w:sz w:val="32"/>
        </w:rPr>
      </w:pPr>
      <w:r>
        <w:rPr>
          <w:rStyle w:val="C3"/>
          <w:rFonts w:ascii="Microsoft YaHei UI" w:hAnsi="Microsoft YaHei UI"/>
          <w:sz w:val="32"/>
        </w:rPr>
        <w:t>被授予专利权的单位转让或者许可他人实施其专利的，应当自收到转让费或者许可费后三个月内，提取不低于该费纳税后的３０％作为报酬，给付发明人或者设计人。</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专利权人可以将其专利权作价出资，专利权作价出资占注册</w:t>
      </w:r>
      <w:r>
        <w:rPr>
          <w:rStyle w:val="C3"/>
          <w:rFonts w:ascii="仿宋_GB2312" w:hAnsi="仿宋_GB2312"/>
          <w:sz w:val="32"/>
        </w:rPr>
        <w:t xml:space="preserve"> </w:t>
      </w:r>
      <w:r>
        <w:rPr>
          <w:rStyle w:val="C3"/>
          <w:rFonts w:ascii="Microsoft YaHei UI" w:hAnsi="Microsoft YaHei UI"/>
          <w:sz w:val="32"/>
        </w:rPr>
        <w:t>资本的比例在国家规定的范围内由合作方约定。</w:t>
      </w:r>
    </w:p>
    <w:p>
      <w:pPr>
        <w:pStyle w:val="P1"/>
        <w:spacing w:lineRule="exact" w:line="589"/>
        <w:ind w:firstLine="628"/>
        <w:rPr>
          <w:rStyle w:val="C3"/>
          <w:rFonts w:ascii="仿宋_GB2312" w:hAnsi="仿宋_GB2312"/>
          <w:sz w:val="32"/>
        </w:rPr>
      </w:pPr>
      <w:r>
        <w:rPr>
          <w:rStyle w:val="C3"/>
          <w:rFonts w:ascii="Microsoft YaHei UI" w:hAnsi="Microsoft YaHei UI"/>
          <w:sz w:val="32"/>
        </w:rPr>
        <w:t>专利权作价出资的，应当进行资产评估，其中涉及国有资产的，评估结果报国有资产主</w:t>
      </w:r>
      <w:r>
        <w:rPr>
          <w:rStyle w:val="C3"/>
          <w:rFonts w:ascii="仿宋_GB2312" w:hAnsi="仿宋_GB2312"/>
          <w:sz w:val="32"/>
        </w:rPr>
        <w:t xml:space="preserve"> </w:t>
      </w:r>
      <w:r>
        <w:rPr>
          <w:rStyle w:val="C3"/>
          <w:rFonts w:ascii="Microsoft YaHei UI" w:hAnsi="Microsoft YaHei UI"/>
          <w:sz w:val="32"/>
        </w:rPr>
        <w:t>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以专利权入股的，专利权人应当从其股份所得中提取不低于３０％的收益给付职务发明人或者设计人。</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列入政府计划或者政府参与投资的研究与开发项目，项目承</w:t>
      </w:r>
      <w:r>
        <w:rPr>
          <w:rStyle w:val="C3"/>
          <w:rFonts w:ascii="仿宋_GB2312" w:hAnsi="仿宋_GB2312"/>
          <w:sz w:val="32"/>
        </w:rPr>
        <w:t xml:space="preserve"> </w:t>
      </w:r>
      <w:r>
        <w:rPr>
          <w:rStyle w:val="C3"/>
          <w:rFonts w:ascii="Microsoft YaHei UI" w:hAnsi="Microsoft YaHei UI"/>
          <w:sz w:val="32"/>
        </w:rPr>
        <w:t>担者在申请立项、项目取得阶段性成果以及项目完成后，均应当向项目管理部门提交所涉技术领域的专利检索报告。</w:t>
      </w:r>
    </w:p>
    <w:p>
      <w:pPr>
        <w:pStyle w:val="P1"/>
        <w:spacing w:lineRule="exact" w:line="589"/>
        <w:ind w:firstLine="628"/>
        <w:rPr>
          <w:rStyle w:val="C3"/>
          <w:rFonts w:ascii="仿宋_GB2312" w:hAnsi="仿宋_GB2312"/>
          <w:sz w:val="32"/>
        </w:rPr>
      </w:pPr>
      <w:r>
        <w:rPr>
          <w:rStyle w:val="C3"/>
          <w:rFonts w:ascii="Microsoft YaHei UI" w:hAnsi="Microsoft YaHei UI"/>
          <w:sz w:val="32"/>
        </w:rPr>
        <w:t>单位在技术或者产品进出口中涉及专利的，应当向项目主管部门出具专利检索报告。</w:t>
      </w:r>
    </w:p>
    <w:p>
      <w:pPr>
        <w:pStyle w:val="P1"/>
        <w:spacing w:lineRule="exact" w:line="589"/>
        <w:ind w:firstLine="628"/>
        <w:rPr>
          <w:rStyle w:val="C3"/>
          <w:rFonts w:ascii="仿宋_GB2312" w:hAnsi="仿宋_GB2312"/>
          <w:sz w:val="32"/>
        </w:rPr>
      </w:pPr>
      <w:r>
        <w:rPr>
          <w:rStyle w:val="C3"/>
          <w:rFonts w:ascii="Microsoft YaHei UI" w:hAnsi="Microsoft YaHei UI"/>
          <w:sz w:val="32"/>
        </w:rPr>
        <w:t>专利检索报告由市级以上管理专利工作的部门和科技行政主管部门依法认定的专利服务</w:t>
      </w:r>
      <w:r>
        <w:rPr>
          <w:rStyle w:val="C3"/>
          <w:rFonts w:ascii="仿宋_GB2312" w:hAnsi="仿宋_GB2312"/>
          <w:sz w:val="32"/>
        </w:rPr>
        <w:t xml:space="preserve"> </w:t>
      </w:r>
      <w:r>
        <w:rPr>
          <w:rStyle w:val="C3"/>
          <w:rFonts w:ascii="Microsoft YaHei UI" w:hAnsi="Microsoft YaHei UI"/>
          <w:sz w:val="32"/>
        </w:rPr>
        <w:t>机构出具。</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有下列情形之一，应当进行专利法律状态认定：</w:t>
      </w:r>
    </w:p>
    <w:p>
      <w:pPr>
        <w:pStyle w:val="P1"/>
        <w:spacing w:lineRule="exact" w:line="589"/>
        <w:ind w:firstLine="628"/>
        <w:rPr>
          <w:rStyle w:val="C3"/>
          <w:rFonts w:ascii="仿宋_GB2312" w:hAnsi="仿宋_GB2312"/>
          <w:sz w:val="32"/>
        </w:rPr>
      </w:pPr>
      <w:r>
        <w:rPr>
          <w:rStyle w:val="C3"/>
          <w:rFonts w:ascii="Microsoft YaHei UI" w:hAnsi="Microsoft YaHei UI"/>
          <w:sz w:val="32"/>
        </w:rPr>
        <w:t>（一）申报市级科技、经济计划的项目中含有专利权的；</w:t>
      </w:r>
    </w:p>
    <w:p>
      <w:pPr>
        <w:pStyle w:val="P1"/>
        <w:spacing w:lineRule="exact" w:line="589"/>
        <w:ind w:firstLine="628"/>
        <w:rPr>
          <w:rStyle w:val="C3"/>
          <w:rFonts w:ascii="仿宋_GB2312" w:hAnsi="仿宋_GB2312"/>
          <w:sz w:val="32"/>
        </w:rPr>
      </w:pPr>
      <w:r>
        <w:rPr>
          <w:rStyle w:val="C3"/>
          <w:rFonts w:ascii="Microsoft YaHei UI" w:hAnsi="Microsoft YaHei UI"/>
          <w:sz w:val="32"/>
        </w:rPr>
        <w:t>（二）以专利权作价出资或者进行专利资产评估的；</w:t>
      </w:r>
    </w:p>
    <w:p>
      <w:pPr>
        <w:pStyle w:val="P1"/>
        <w:spacing w:lineRule="exact" w:line="589"/>
        <w:ind w:firstLine="628"/>
        <w:rPr>
          <w:rStyle w:val="C3"/>
          <w:rFonts w:ascii="仿宋_GB2312" w:hAnsi="仿宋_GB2312"/>
          <w:sz w:val="32"/>
        </w:rPr>
      </w:pPr>
      <w:r>
        <w:rPr>
          <w:rStyle w:val="C3"/>
          <w:rFonts w:ascii="Microsoft YaHei UI" w:hAnsi="Microsoft YaHei UI"/>
          <w:sz w:val="32"/>
        </w:rPr>
        <w:t>（三）请求管理专利工作的部门或者海关保护专利权的；</w:t>
      </w:r>
    </w:p>
    <w:p>
      <w:pPr>
        <w:pStyle w:val="P1"/>
        <w:spacing w:lineRule="exact" w:line="589"/>
        <w:ind w:firstLine="628"/>
        <w:rPr>
          <w:rStyle w:val="C3"/>
          <w:rFonts w:ascii="仿宋_GB2312" w:hAnsi="仿宋_GB2312"/>
          <w:sz w:val="32"/>
        </w:rPr>
      </w:pPr>
      <w:r>
        <w:rPr>
          <w:rStyle w:val="C3"/>
          <w:rFonts w:ascii="Microsoft YaHei UI" w:hAnsi="Microsoft YaHei UI"/>
          <w:sz w:val="32"/>
        </w:rPr>
        <w:t>（四）设立企业、引进境外技术或者从事境外来料加工涉及专利权的；</w:t>
      </w:r>
    </w:p>
    <w:p>
      <w:pPr>
        <w:pStyle w:val="P1"/>
        <w:spacing w:lineRule="exact" w:line="589"/>
        <w:ind w:firstLine="628"/>
        <w:rPr>
          <w:rStyle w:val="C3"/>
          <w:rFonts w:ascii="仿宋_GB2312" w:hAnsi="仿宋_GB2312"/>
          <w:sz w:val="32"/>
        </w:rPr>
      </w:pPr>
      <w:r>
        <w:rPr>
          <w:rStyle w:val="C3"/>
          <w:rFonts w:ascii="Microsoft YaHei UI" w:hAnsi="Microsoft YaHei UI"/>
          <w:sz w:val="32"/>
        </w:rPr>
        <w:t>（五）技术或者产品出口项目中，涉及进口国家或者地区专利权的；</w:t>
      </w:r>
    </w:p>
    <w:p>
      <w:pPr>
        <w:pStyle w:val="P1"/>
        <w:spacing w:lineRule="exact" w:line="589"/>
        <w:ind w:firstLine="628"/>
        <w:rPr>
          <w:rStyle w:val="C3"/>
          <w:rFonts w:ascii="仿宋_GB2312" w:hAnsi="仿宋_GB2312"/>
          <w:sz w:val="32"/>
        </w:rPr>
      </w:pPr>
      <w:r>
        <w:rPr>
          <w:rStyle w:val="C3"/>
          <w:rFonts w:ascii="Microsoft YaHei UI" w:hAnsi="Microsoft YaHei UI"/>
          <w:sz w:val="32"/>
        </w:rPr>
        <w:t>（六）商品销售中涉及专利权或者专利申请的；</w:t>
      </w:r>
    </w:p>
    <w:p>
      <w:pPr>
        <w:pStyle w:val="P1"/>
        <w:spacing w:lineRule="exact" w:line="589"/>
        <w:ind w:firstLine="628"/>
        <w:rPr>
          <w:rStyle w:val="C3"/>
          <w:rFonts w:ascii="仿宋_GB2312" w:hAnsi="仿宋_GB2312"/>
          <w:sz w:val="32"/>
        </w:rPr>
      </w:pPr>
      <w:r>
        <w:rPr>
          <w:rStyle w:val="C3"/>
          <w:rFonts w:ascii="Microsoft YaHei UI" w:hAnsi="Microsoft YaHei UI"/>
          <w:sz w:val="32"/>
        </w:rPr>
        <w:t>（七）举办各类技术与产品展览会、展示会、推广会、交易会涉及专利权或者专利申请</w:t>
      </w:r>
      <w:r>
        <w:rPr>
          <w:rStyle w:val="C3"/>
          <w:rFonts w:ascii="仿宋_GB2312" w:hAnsi="仿宋_GB2312"/>
          <w:sz w:val="32"/>
        </w:rPr>
        <w:t xml:space="preserve"> </w:t>
      </w:r>
      <w:r>
        <w:rPr>
          <w:rStyle w:val="C3"/>
          <w:rFonts w:ascii="Microsoft YaHei UI" w:hAnsi="Microsoft YaHei UI"/>
          <w:sz w:val="32"/>
        </w:rPr>
        <w:t>的；</w:t>
      </w:r>
    </w:p>
    <w:p>
      <w:pPr>
        <w:pStyle w:val="P1"/>
        <w:spacing w:lineRule="exact" w:line="589"/>
        <w:ind w:firstLine="628"/>
        <w:rPr>
          <w:rStyle w:val="C3"/>
          <w:rFonts w:ascii="仿宋_GB2312" w:hAnsi="仿宋_GB2312"/>
          <w:sz w:val="32"/>
        </w:rPr>
      </w:pPr>
      <w:r>
        <w:rPr>
          <w:rStyle w:val="C3"/>
          <w:rFonts w:ascii="Microsoft YaHei UI" w:hAnsi="Microsoft YaHei UI"/>
          <w:sz w:val="32"/>
        </w:rPr>
        <w:t>（八）其他应当认定专利法律状态的。</w:t>
      </w:r>
    </w:p>
    <w:p>
      <w:pPr>
        <w:pStyle w:val="P1"/>
        <w:spacing w:lineRule="exact" w:line="589"/>
        <w:ind w:firstLine="628"/>
        <w:rPr>
          <w:rStyle w:val="C3"/>
          <w:rFonts w:ascii="仿宋_GB2312" w:hAnsi="仿宋_GB2312"/>
          <w:sz w:val="32"/>
        </w:rPr>
      </w:pPr>
      <w:r>
        <w:rPr>
          <w:rStyle w:val="C3"/>
          <w:rFonts w:ascii="Microsoft YaHei UI" w:hAnsi="Microsoft YaHei UI"/>
          <w:sz w:val="32"/>
        </w:rPr>
        <w:t>专利法律状态认定由市管理专利工作的部门或者国务院专利行政部门授权的其他管理专</w:t>
      </w:r>
      <w:r>
        <w:rPr>
          <w:rStyle w:val="C3"/>
          <w:rFonts w:ascii="仿宋_GB2312" w:hAnsi="仿宋_GB2312"/>
          <w:sz w:val="32"/>
        </w:rPr>
        <w:t xml:space="preserve"> </w:t>
      </w:r>
      <w:r>
        <w:rPr>
          <w:rStyle w:val="C3"/>
          <w:rFonts w:ascii="Microsoft YaHei UI" w:hAnsi="Microsoft YaHei UI"/>
          <w:sz w:val="32"/>
        </w:rPr>
        <w:t>利工作的部门办理。</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专利权人或者专利实施被许可人在其产品、产品包装或者产</w:t>
      </w:r>
      <w:r>
        <w:rPr>
          <w:rStyle w:val="C3"/>
          <w:rFonts w:ascii="仿宋_GB2312" w:hAnsi="仿宋_GB2312"/>
          <w:sz w:val="32"/>
        </w:rPr>
        <w:t xml:space="preserve"> </w:t>
      </w:r>
      <w:r>
        <w:rPr>
          <w:rStyle w:val="C3"/>
          <w:rFonts w:ascii="Microsoft YaHei UI" w:hAnsi="Microsoft YaHei UI"/>
          <w:sz w:val="32"/>
        </w:rPr>
        <w:t>品说明书上标明专利标记的，应当同时标注专利类别和专利号。</w:t>
      </w:r>
    </w:p>
    <w:p>
      <w:pPr>
        <w:pStyle w:val="P1"/>
        <w:spacing w:lineRule="exact" w:line="589"/>
        <w:ind w:firstLine="628"/>
        <w:rPr>
          <w:rStyle w:val="C3"/>
          <w:rFonts w:ascii="仿宋_GB2312" w:hAnsi="仿宋_GB2312"/>
          <w:sz w:val="32"/>
        </w:rPr>
      </w:pPr>
      <w:r>
        <w:rPr>
          <w:rStyle w:val="C3"/>
          <w:rFonts w:ascii="Microsoft YaHei UI" w:hAnsi="Microsoft YaHei UI"/>
          <w:sz w:val="32"/>
        </w:rPr>
        <w:t>专利权人或者专利实施被许可人可以使用由市管理专利工作的部门监制的专利防伪标识</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约定专利申请权归属的合同、专利申请权转让合同、专利权</w:t>
      </w:r>
      <w:r>
        <w:rPr>
          <w:rStyle w:val="C3"/>
          <w:rFonts w:ascii="仿宋_GB2312" w:hAnsi="仿宋_GB2312"/>
          <w:sz w:val="32"/>
        </w:rPr>
        <w:t xml:space="preserve"> </w:t>
      </w:r>
      <w:r>
        <w:rPr>
          <w:rStyle w:val="C3"/>
          <w:rFonts w:ascii="Microsoft YaHei UI" w:hAnsi="Microsoft YaHei UI"/>
          <w:sz w:val="32"/>
        </w:rPr>
        <w:t>转让合同、专利权质押合同、专利实施许可合同，其签订地或者履行地在本市的，自合同订立之日起３０日内，到市管理专利工作的部门备案。</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管理专利工作的部门应当加强专利信息管理，规范专利信息服务，加快专利信息传播、开发和利用，促进专利实施。</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涉及专利的广告应当标明或者说明专利类别和专利号。</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在本市举办专利信息发布会的，应当报经市管理专利工作的</w:t>
      </w:r>
      <w:r>
        <w:rPr>
          <w:rStyle w:val="C3"/>
          <w:rFonts w:ascii="仿宋_GB2312" w:hAnsi="仿宋_GB2312"/>
          <w:sz w:val="32"/>
        </w:rPr>
        <w:t xml:space="preserve"> </w:t>
      </w:r>
      <w:r>
        <w:rPr>
          <w:rStyle w:val="C3"/>
          <w:rFonts w:ascii="Microsoft YaHei UI" w:hAnsi="Microsoft YaHei UI"/>
          <w:sz w:val="32"/>
        </w:rPr>
        <w:t>部门审查，并依法办理有关手续。</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设立从事专利技术贸易、信息咨询等业务的专利服务机构</w:t>
      </w:r>
      <w:r>
        <w:rPr>
          <w:rStyle w:val="C3"/>
          <w:rFonts w:ascii="仿宋_GB2312" w:hAnsi="仿宋_GB2312"/>
          <w:sz w:val="32"/>
        </w:rPr>
        <w:t xml:space="preserve"> </w:t>
      </w:r>
      <w:r>
        <w:rPr>
          <w:rStyle w:val="C3"/>
          <w:rFonts w:ascii="Microsoft YaHei UI" w:hAnsi="Microsoft YaHei UI"/>
          <w:sz w:val="32"/>
        </w:rPr>
        <w:t>，除应当符合法定条件外，还应当有三名以上具备相应专利服务资格的专业人员。专利服务</w:t>
      </w:r>
      <w:r>
        <w:rPr>
          <w:rStyle w:val="C3"/>
          <w:rFonts w:ascii="仿宋_GB2312" w:hAnsi="仿宋_GB2312"/>
          <w:sz w:val="32"/>
        </w:rPr>
        <w:t xml:space="preserve"> </w:t>
      </w:r>
      <w:r>
        <w:rPr>
          <w:rStyle w:val="C3"/>
          <w:rFonts w:ascii="Microsoft YaHei UI" w:hAnsi="Microsoft YaHei UI"/>
          <w:sz w:val="32"/>
        </w:rPr>
        <w:t>机构设立或者变更，除依法办理有关手续外，还应当经市管理专利工作的部门审查；歇业、</w:t>
      </w:r>
      <w:r>
        <w:rPr>
          <w:rStyle w:val="C3"/>
          <w:rFonts w:ascii="仿宋_GB2312" w:hAnsi="仿宋_GB2312"/>
          <w:sz w:val="32"/>
        </w:rPr>
        <w:t xml:space="preserve"> </w:t>
      </w:r>
      <w:r>
        <w:rPr>
          <w:rStyle w:val="C3"/>
          <w:rFonts w:ascii="Microsoft YaHei UI" w:hAnsi="Microsoft YaHei UI"/>
          <w:sz w:val="32"/>
        </w:rPr>
        <w:t>停业的，应当向市管理专利工作的部门备案。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其他机构从事专利服务业务的，应当有两名以上具备相应专利服务资格的专业人员；并</w:t>
      </w:r>
      <w:r>
        <w:rPr>
          <w:rStyle w:val="C3"/>
          <w:rFonts w:ascii="仿宋_GB2312" w:hAnsi="仿宋_GB2312"/>
          <w:sz w:val="32"/>
        </w:rPr>
        <w:t xml:space="preserve"> </w:t>
      </w:r>
      <w:r>
        <w:rPr>
          <w:rStyle w:val="C3"/>
          <w:rFonts w:ascii="Microsoft YaHei UI" w:hAnsi="Microsoft YaHei UI"/>
          <w:sz w:val="32"/>
        </w:rPr>
        <w:t>报市管理专利工作的部门备案。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设立专利代理机构，按国家规定办理。</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专利代理、技术贸易、信息咨询、资产评估和其他从事专</w:t>
      </w:r>
      <w:r>
        <w:rPr>
          <w:rStyle w:val="C3"/>
          <w:rFonts w:ascii="仿宋_GB2312" w:hAnsi="仿宋_GB2312"/>
          <w:sz w:val="32"/>
        </w:rPr>
        <w:t xml:space="preserve"> </w:t>
      </w:r>
      <w:r>
        <w:rPr>
          <w:rStyle w:val="C3"/>
          <w:rFonts w:ascii="Microsoft YaHei UI" w:hAnsi="Microsoft YaHei UI"/>
          <w:sz w:val="32"/>
        </w:rPr>
        <w:t>利服务的机构不得出具虚假专利文献检索、专利资产评估报告；不得与当事人串通牟取不正</w:t>
      </w:r>
      <w:r>
        <w:rPr>
          <w:rStyle w:val="C3"/>
          <w:rFonts w:ascii="仿宋_GB2312" w:hAnsi="仿宋_GB2312"/>
          <w:sz w:val="32"/>
        </w:rPr>
        <w:t xml:space="preserve"> </w:t>
      </w:r>
      <w:r>
        <w:rPr>
          <w:rStyle w:val="C3"/>
          <w:rFonts w:ascii="Microsoft YaHei UI" w:hAnsi="Microsoft YaHei UI"/>
          <w:sz w:val="32"/>
        </w:rPr>
        <w:t>当利益，损害国家、集体或者他人利益；不得误导、欺骗、胁迫当事人订立与专利有关的合</w:t>
      </w:r>
      <w:r>
        <w:rPr>
          <w:rStyle w:val="C3"/>
          <w:rFonts w:ascii="仿宋_GB2312" w:hAnsi="仿宋_GB2312"/>
          <w:sz w:val="32"/>
        </w:rPr>
        <w:t xml:space="preserve"> </w:t>
      </w:r>
      <w:r>
        <w:rPr>
          <w:rStyle w:val="C3"/>
          <w:rFonts w:ascii="Microsoft YaHei UI" w:hAnsi="Microsoft YaHei UI"/>
          <w:sz w:val="32"/>
        </w:rPr>
        <w:t>同。</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本市行政区域内发生的专利纠纷，当事人可以向人民法院</w:t>
      </w:r>
      <w:r>
        <w:rPr>
          <w:rStyle w:val="C3"/>
          <w:rFonts w:ascii="仿宋_GB2312" w:hAnsi="仿宋_GB2312"/>
          <w:sz w:val="32"/>
        </w:rPr>
        <w:t xml:space="preserve"> </w:t>
      </w:r>
      <w:r>
        <w:rPr>
          <w:rStyle w:val="C3"/>
          <w:rFonts w:ascii="Microsoft YaHei UI" w:hAnsi="Microsoft YaHei UI"/>
          <w:sz w:val="32"/>
        </w:rPr>
        <w:t>提起诉讼，也可以请求市管理专利工作的部门处理。</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本市行政区域内发生的假冒他人专利或者冒充专利行为，</w:t>
      </w:r>
      <w:r>
        <w:rPr>
          <w:rStyle w:val="C3"/>
          <w:rFonts w:ascii="仿宋_GB2312" w:hAnsi="仿宋_GB2312"/>
          <w:sz w:val="32"/>
        </w:rPr>
        <w:t xml:space="preserve"> </w:t>
      </w:r>
      <w:r>
        <w:rPr>
          <w:rStyle w:val="C3"/>
          <w:rFonts w:ascii="Microsoft YaHei UI" w:hAnsi="Microsoft YaHei UI"/>
          <w:sz w:val="32"/>
        </w:rPr>
        <w:t>由市管理专利工作的部门依法查处。</w:t>
      </w:r>
    </w:p>
    <w:p>
      <w:pPr>
        <w:pStyle w:val="P1"/>
        <w:spacing w:lineRule="exact" w:line="589"/>
        <w:ind w:firstLine="628"/>
        <w:rPr>
          <w:rStyle w:val="C3"/>
          <w:rFonts w:ascii="仿宋_GB2312" w:hAnsi="仿宋_GB2312"/>
          <w:sz w:val="32"/>
        </w:rPr>
      </w:pPr>
      <w:r>
        <w:rPr>
          <w:rStyle w:val="C3"/>
          <w:rFonts w:ascii="Microsoft YaHei UI" w:hAnsi="Microsoft YaHei UI"/>
          <w:sz w:val="32"/>
        </w:rPr>
        <w:t>鼓励单位和个人检举假冒他人专利或者冒充专利行为。市管理专利工作的部门对举报人</w:t>
      </w:r>
      <w:r>
        <w:rPr>
          <w:rStyle w:val="C3"/>
          <w:rFonts w:ascii="仿宋_GB2312" w:hAnsi="仿宋_GB2312"/>
          <w:sz w:val="32"/>
        </w:rPr>
        <w:t xml:space="preserve"> </w:t>
      </w:r>
      <w:r>
        <w:rPr>
          <w:rStyle w:val="C3"/>
          <w:rFonts w:ascii="Microsoft YaHei UI" w:hAnsi="Microsoft YaHei UI"/>
          <w:sz w:val="32"/>
        </w:rPr>
        <w:t>及有关内容承担保密责任。</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违反本条例，有下列情形之一，由市管理专利工作的部门</w:t>
      </w:r>
      <w:r>
        <w:rPr>
          <w:rStyle w:val="C3"/>
          <w:rFonts w:ascii="仿宋_GB2312" w:hAnsi="仿宋_GB2312"/>
          <w:sz w:val="32"/>
        </w:rPr>
        <w:t xml:space="preserve"> </w:t>
      </w:r>
      <w:r>
        <w:rPr>
          <w:rStyle w:val="C3"/>
          <w:rFonts w:ascii="Microsoft YaHei UI" w:hAnsi="Microsoft YaHei UI"/>
          <w:sz w:val="32"/>
        </w:rPr>
        <w:t>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（一）违反本条例第二十条、第二十一条规定，擅自发布专利信息或者从事专利服务业</w:t>
      </w:r>
      <w:r>
        <w:rPr>
          <w:rStyle w:val="C3"/>
          <w:rFonts w:ascii="仿宋_GB2312" w:hAnsi="仿宋_GB2312"/>
          <w:sz w:val="32"/>
        </w:rPr>
        <w:t xml:space="preserve"> </w:t>
      </w:r>
      <w:r>
        <w:rPr>
          <w:rStyle w:val="C3"/>
          <w:rFonts w:ascii="Microsoft YaHei UI" w:hAnsi="Microsoft YaHei UI"/>
          <w:sz w:val="32"/>
        </w:rPr>
        <w:t>务的，没收违法所得，并处以违法所得一至二倍罚款，没有违法所得的，处以二千元以上二</w:t>
      </w:r>
      <w:r>
        <w:rPr>
          <w:rStyle w:val="C3"/>
          <w:rFonts w:ascii="仿宋_GB2312" w:hAnsi="仿宋_GB2312"/>
          <w:sz w:val="32"/>
        </w:rPr>
        <w:t xml:space="preserve"> </w:t>
      </w:r>
      <w:r>
        <w:rPr>
          <w:rStyle w:val="C3"/>
          <w:rFonts w:ascii="Microsoft YaHei UI" w:hAnsi="Microsoft YaHei UI"/>
          <w:sz w:val="32"/>
        </w:rPr>
        <w:t>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（二）从事专利服务的机构违反本条例第二十二条规定的，没收违法所得，并处以违法</w:t>
      </w:r>
      <w:r>
        <w:rPr>
          <w:rStyle w:val="C3"/>
          <w:rFonts w:ascii="仿宋_GB2312" w:hAnsi="仿宋_GB2312"/>
          <w:sz w:val="32"/>
        </w:rPr>
        <w:t xml:space="preserve"> </w:t>
      </w:r>
      <w:r>
        <w:rPr>
          <w:rStyle w:val="C3"/>
          <w:rFonts w:ascii="Microsoft YaHei UI" w:hAnsi="Microsoft YaHei UI"/>
          <w:sz w:val="32"/>
        </w:rPr>
        <w:t>所得一至二倍罚款，没有违法所得的，处以二千元以上三万元以下罚款。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违反本条例，有关法律、法规已有处罚规定的，从其规定。</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违反本条例，给他人造成损失的，依法承担民事责任；构</w:t>
      </w:r>
      <w:r>
        <w:rPr>
          <w:rStyle w:val="C3"/>
          <w:rFonts w:ascii="仿宋_GB2312" w:hAnsi="仿宋_GB2312"/>
          <w:sz w:val="32"/>
        </w:rPr>
        <w:t xml:space="preserve"> </w:t>
      </w:r>
      <w:r>
        <w:rPr>
          <w:rStyle w:val="C3"/>
          <w:rFonts w:ascii="Microsoft YaHei UI" w:hAnsi="Microsoft YaHei UI"/>
          <w:sz w:val="32"/>
        </w:rPr>
        <w:t>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管理专利工作的部门的工作人员不得参与与专利有关的经</w:t>
      </w:r>
      <w:r>
        <w:rPr>
          <w:rStyle w:val="C3"/>
          <w:rFonts w:ascii="仿宋_GB2312" w:hAnsi="仿宋_GB2312"/>
          <w:sz w:val="32"/>
        </w:rPr>
        <w:t xml:space="preserve"> </w:t>
      </w:r>
      <w:r>
        <w:rPr>
          <w:rStyle w:val="C3"/>
          <w:rFonts w:ascii="Microsoft YaHei UI" w:hAnsi="Microsoft YaHei UI"/>
          <w:sz w:val="32"/>
        </w:rPr>
        <w:t>营活动，不得泄露本职工作中所知晓的当事人的有关秘密，不得滥用职权、玩忽职守、徇私舞弊。</w:t>
      </w:r>
    </w:p>
    <w:p>
      <w:pPr>
        <w:pStyle w:val="P1"/>
        <w:spacing w:lineRule="exact" w:line="589"/>
        <w:ind w:firstLine="628"/>
        <w:rPr>
          <w:rStyle w:val="C3"/>
          <w:rFonts w:ascii="仿宋_GB2312" w:hAnsi="仿宋_GB2312"/>
          <w:sz w:val="32"/>
        </w:rPr>
      </w:pPr>
      <w:r>
        <w:rPr>
          <w:rStyle w:val="C3"/>
          <w:rFonts w:ascii="Microsoft YaHei UI" w:hAnsi="Microsoft YaHei UI"/>
          <w:sz w:val="32"/>
        </w:rPr>
        <w:t>违反前款规定的，给予行政处分；构成犯罪的，依法追究刑事责任。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本条例自２００１年７月１日起施行。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