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FD05A6" Type="http://schemas.openxmlformats.org/officeDocument/2006/relationships/officeDocument" Target="/word/document.xml" /><Relationship Id="coreR63FD05A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厦门经济特区水资源条例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（２０１１年１２月１日厦门市第十三届人民代表大会常务委员会第三十三次会议通过）</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5"/>
        <w:jc w:val="center"/>
        <w:rPr>
          <w:rStyle w:val="C3"/>
          <w:rFonts w:ascii="楷体_GB2312" w:hAnsi="楷体_GB2312"/>
          <w:color w:val="333333"/>
          <w:sz w:val="32"/>
        </w:rPr>
      </w:pP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水资源规划和开发利用</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水资源和水域保护</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水资源配置和节约</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　附则</w:t>
      </w:r>
      <w:r>
        <w:rPr>
          <w:rStyle w:val="C3"/>
          <w:rFonts w:ascii="楷体_GB2312" w:hAnsi="楷体_GB2312"/>
          <w:color w:val="333333"/>
          <w:sz w:val="32"/>
        </w:rPr>
        <w:t xml:space="preserve"> </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为了保护水资源，发挥水资源的综合效益，实现水资源可持续利用，遵循《中华人民共和国水法》及其他有关法律、行政法规的基本原则，结合本经济特区实际，制定本条例。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本条例所称水资源，包括本行政区域内地表水、地下水和区域外调入水。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市、区水行政主管部门负责本辖区内水资源的统一管理和监督工作。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其他有关部门在各自职责范围内，负责水资源的相关管理工作。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市、区人民政府应当将水资源开发、利用、节约和保护列入本级国民经济和社会发展规划。城市空间发展规划、重大建设项目布局和产业结构调整，应当与水资源承载能力及水环境相适应。</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第五条</w:t>
      </w:r>
      <w:r>
        <w:rPr>
          <w:rStyle w:val="C3"/>
          <w:rFonts w:ascii="Microsoft YaHei UI" w:hAnsi="Microsoft YaHei UI"/>
          <w:color w:val="333333"/>
          <w:sz w:val="32"/>
        </w:rPr>
        <w:t>　市、区人民政府建立用水总量控制制度、用水效率控制制度和水功能区限制纳污制度，实行取水许可制度和水资源有偿使用制度，将主要控制性指标纳入经济社会发展综合评价体系。</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第六条</w:t>
      </w:r>
      <w:r>
        <w:rPr>
          <w:rStyle w:val="C3"/>
          <w:rFonts w:ascii="Microsoft YaHei UI" w:hAnsi="Microsoft YaHei UI"/>
          <w:color w:val="333333"/>
          <w:sz w:val="32"/>
        </w:rPr>
        <w:t>　市、区人民政府应当建立水资源保护的目标责任制和考核评价制度。</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市水行政主管部门应当会同发展改革、环境保护行政主管部门按照有关规定，对市人民政府有关部门和区人民政府水资源保护的指标落实情况进行年度考核，并将考核结果报市人民政府。</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水资源规划和开发利用</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市水行政主管部门应当会同有关部门和区人民政府编制市水资源综合规划和东西溪、后溪、九溪、官浔溪河流流域综合规划，报市人民政府批准。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区水行政主管部门应当会同有关部门编制区水资源综合规划以及前款规定以外的其他河流流域综合规划，报区人民政府批准并报市水行政主管部门备案。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水行政主管部门组织编制水资源专业规划，征求有关部门意见后，报本级人民政府批准。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市发展改革及其他有关部门制定本市产业政策、投资项目指导目录时，应当综合考虑水资源条件和水污染防治要求，限制高耗水项目，禁止对水体污染严重的项目。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水资源的开发、利用应当严格控制开发地下水，优先使用地表水，合理配置区域外调入水，鼓励循环用水和开发、利用再生水。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市水行政主管部门应当会同国土资源行政主管部门根据地下水的分布、开发利用情况以及地质环境条件划定地下水禁止开采区和限制开采区，报市人民政府批准后公布。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地下水禁止开采区和限制开采区内，不得新建地下水取水工程，但对水质和水温有特殊需求确需在限制开采区内取用地下水的除外。水行政主管部门批准限制开采区内取水的，应当核定地下水开采量和年度用水计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禁止开采区内已有的取水工程，限期封闭；限制开采区内已有的取水工程，应当逐年削减取水量。</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第十二条</w:t>
      </w:r>
      <w:r>
        <w:rPr>
          <w:rStyle w:val="C3"/>
          <w:rFonts w:ascii="Microsoft YaHei UI" w:hAnsi="Microsoft YaHei UI"/>
          <w:color w:val="333333"/>
          <w:sz w:val="32"/>
        </w:rPr>
        <w:t>　城市新区以及新建的开发区、工业区、住宅区等推行配套建设雨水集流、储水设施和再生水利用设施，提高水资源利用效率。</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市、区人民政府应当制定具体措施，鼓励企事业单位采用新工艺、利用新技术，大力推行雨水集流、储水设施和再生水利用。</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水资源和水域保护</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市人民政府应当依法划定饮用水水源一级保护区和二级保护区，经批准后在水源地醒目位置公告，并在饮用水水源保护区边界设置明确的地理界标和明显的警示标志。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在饮用水水源保护区内禁止设置排污口。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在饮用水水源一级保护区内禁止从事下列活动：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（一）向水体排放工业废水和生活污水；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（二）向水体倾倒废渣、动物尸体、各类垃圾等污染物或者其他有毒有害物；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（三）从事采矿、采石（砂）、爆破等活动；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（四）使用炸药、农药等有毒有害物品捕杀水生动物；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（五）设置畜禽养殖场或者在水体放养畜禽；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（六）从事餐饮、旅游、娱乐、运动等生产经营活动；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（七）新建、扩建、改建与供水设施和保护水源无关的建设项目；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（八）其他可能污染饮用水水体的活动。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第十六条</w:t>
      </w:r>
      <w:r>
        <w:rPr>
          <w:rStyle w:val="C3"/>
          <w:rFonts w:ascii="Microsoft YaHei UI" w:hAnsi="Microsoft YaHei UI"/>
          <w:color w:val="333333"/>
          <w:sz w:val="32"/>
        </w:rPr>
        <w:t>　在饮用水水源二级保护区内禁止新建餐饮、旅游及其他污染水源的生产经营项目；已经批准设立的，应当采取措施，实现污染物零排放。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在饮用水水源保护区的水库正常水位淹没线以下的滩地和岸坡，禁止从事农作物种植和其他影响水源水质的活动。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建立水资源保护补偿机制。市人民政府负责对饮用水水源保护区内的自然人实施水资源保护直接补偿。水资源保护补偿的范围、方式、标准和补偿资金的筹措使用等具体办法由市人民政府另行制定。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在已经实施水资源保护补偿机制的饮用水水源保护区内，不得使用含磷洗涤剂、化肥、化学农药以及其他影响水源水质的有害物质。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交通运输行政主管部门应当在穿越饮用水水源保护区的公路、桥梁，设置警示标志，采取防护措施，防止运输的油类、化学品等危险物品污染饮用水水源。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道路运输经营者应当采取防溢、防渗、防漏等安全措施，防止污染。</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市水行政主管部门会同市环境保护行政主管部门和其他有关部门以及区人民政府，编制河流、湖泊、水库的水功能区划，报市人民政府批准后公布。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第二十一条</w:t>
      </w:r>
      <w:r>
        <w:rPr>
          <w:rStyle w:val="C3"/>
          <w:rFonts w:ascii="Microsoft YaHei UI" w:hAnsi="Microsoft YaHei UI"/>
          <w:color w:val="333333"/>
          <w:sz w:val="32"/>
        </w:rPr>
        <w:t>　在水功能区从事工程建设以及餐饮、旅游、水上运动等生产经营活动的，应当遵守水功能区的相关管理规定，不得影响水功能区及相邻水功能区的水域使用功能，不得降低水功能区水质目标确定的水质。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在未划定水功能区的水域进行生产经营活动的，不得影响相邻水功能区的水域使用功能。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第二十二条</w:t>
      </w:r>
      <w:r>
        <w:rPr>
          <w:rStyle w:val="C3"/>
          <w:rFonts w:ascii="Microsoft YaHei UI" w:hAnsi="Microsoft YaHei UI"/>
          <w:color w:val="333333"/>
          <w:sz w:val="32"/>
        </w:rPr>
        <w:t>　水行政主管部门应当完善水资源监测站网的规划和建设，加强对水功能区水质状况的监测，并将监测结果向环境保护行政主管部门通报。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水功能区的水质监测结果应当按照有关规定向社会公开。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市水行政主管部门应当根据水功能区对水质要求、河流的水文特征以及水体的自然净化能力，定期核定水功能区的水域纳污能力，并向市环境保护行政主管部门提出该水域的限制排污总量意见。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市人民政府应当在东西溪、后溪、九溪和官浔溪流域范围内划定畜禽禁养区和限养区。其他流域范围内畜禽禁养区和限养区由所在区人民政府划定。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污水集中处理收集管网已经覆盖的地区，市水行政主管部门应当会同环境保护行政主管部门、所在区人民政府责令排污口设置单位或者个人限期关闭设置在江河、湖泊上的排污口。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污水集中处理收集管网尚未覆盖的地区，对单位和个人投资自建生活污水处理设施产生的运行费用，市、区人民政府予以适当补贴。</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第二十六条</w:t>
      </w:r>
      <w:r>
        <w:rPr>
          <w:rStyle w:val="C3"/>
          <w:rFonts w:ascii="Microsoft YaHei UI" w:hAnsi="Microsoft YaHei UI"/>
          <w:color w:val="333333"/>
          <w:sz w:val="32"/>
        </w:rPr>
        <w:t>　水域管理单位应当加强水域保护，及时清理河流、水库、渠道内的水生植物和漂浮物等，并接受水行政主管部门的监督管理。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对淤积严重的河道、湖泊等，水行政主管部门应当组织水域管理单位进行清淤疏浚。</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水资源配置和节约</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实行水资源统一配置制度，按照内蓄外引、统一联网、优水优用原则统筹调配水资源。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第二十八条</w:t>
      </w:r>
      <w:r>
        <w:rPr>
          <w:rStyle w:val="C3"/>
          <w:rFonts w:ascii="Microsoft YaHei UI" w:hAnsi="Microsoft YaHei UI"/>
          <w:color w:val="333333"/>
          <w:sz w:val="32"/>
        </w:rPr>
        <w:t>　市水行政主管部门应当会同有关部门制定水中长期供求规划，报市发展改革行政主管部门批准后执行。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市水行政主管部门应当根据水资源综合规划、水中长期供求规划以及上一年度蓄水量、区域外调入水量、各水工程的供水能力等确定全市年度用水总量。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中型水库、跨区引水、区域外调入水等水工程管理单位应当根据供水片区内用水单位的用水需求、行业用水水平、经济技术条件等预测本工程的年度用水量，报市水行政主管部门。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水行政主管部门依据全市年度用水总量、水工程管理单位申报的年度用水量，核定水工程管理单位的年度用水指标及其主要用水单位的用水指标，并通过座谈会、论证会、听证会等形式，广泛听取意见，研究论证，报市人民政府批准后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水工程管理单位的年度用水指标是水工程运行、调度的依据，有关单位应当严格执行，并接受水行政主管部门的监督管理。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纳入用水指标管理的用水单位具备下列条件的，水工程管理单位可以申请增加年度用水指标：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（一）生产经营规模扩大等发展需要；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（二）用水单耗达到或者低于规定的行业用水指标；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（三）水的重复利用率达到或者高于规定的行业标准。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特枯年份，实际供水量低于预测年度用水总量，水行政主管部门按照先生活后生产和保障民生产业的原则，核减水工程管理单位的用水指标。水行政主管部门应当提前十五日书面告知水工程管理单位，告知书应当包括核减的原因、数量、期限等内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水工程管理单位以及纳入用水指标管理的用水单位，应当按照规定及时、准确地向水行政主管部门报告取用水量等相关数据。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市人民政府应当按照水源互补、科学调度的要求，规划建设备用水源项目和跨供水片区的联合供水项目，按照规划供水范围的正常用水量计算，保证备用水源具备不少于七日的供水能力。</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水行政主管部门应当制定供水安全应急预案，明确包括饮用水安全在内的生活、生产和生态用水安全应急措施，报本级人民政府批准。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实施取水许可制度。依法需要办理取水许可证的，实行取水许可分级审批。市、区分级审批权限由市水行政主管部门规定。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取水量达到或者超过年度用水总量控制指标的，水行政主管部门应当暂停审批新建、改建、扩建建设项目取水。</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第三十六条</w:t>
      </w:r>
      <w:r>
        <w:rPr>
          <w:rStyle w:val="C3"/>
          <w:rFonts w:ascii="Microsoft YaHei UI" w:hAnsi="Microsoft YaHei UI"/>
          <w:color w:val="333333"/>
          <w:sz w:val="32"/>
        </w:rPr>
        <w:t>　取水单位和个人应当安装符合国家计量标准的取水计量器具，并保证取水计量器具的正常运行，不得擅自拆改。</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未安装符合国家计量标准的取水计量器具，或者擅自拆改取水计量器具，导致取水量无法准确计量的，按照工程设计能力或者设备功率满负荷连续运行的取水能力计算取水量。</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违反本条例第十五条、第十六条规定，由环境保护行政主管部门或者委托城市管理行政执法部门责令停止违法行为，依照《中华人民共和国水污染防治法》有关规定处罚。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第三十八条</w:t>
      </w:r>
      <w:r>
        <w:rPr>
          <w:rStyle w:val="C3"/>
          <w:rFonts w:ascii="Microsoft YaHei UI" w:hAnsi="Microsoft YaHei UI"/>
          <w:color w:val="333333"/>
          <w:sz w:val="32"/>
        </w:rPr>
        <w:t>　违反本条例第十七条规定，在饮用水水源保护区的水库正常水位淹没线以下滩地和岸坡从事农作物种植、畜禽养殖等影响水源水质活动的，由水行政主管部门责令限期改正，并可处五千元以下罚款。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第三十九条</w:t>
      </w:r>
      <w:r>
        <w:rPr>
          <w:rStyle w:val="C3"/>
          <w:rFonts w:ascii="Microsoft YaHei UI" w:hAnsi="Microsoft YaHei UI"/>
          <w:color w:val="333333"/>
          <w:sz w:val="32"/>
        </w:rPr>
        <w:t>　违反本条例第二十一条规定，从事生产经营活动对水功能区水域使用功能造成严重影响的，由水行政主管部门责令停止违法行为，采取补救措施，处一万元以上五万元以下罚款。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第四十条</w:t>
      </w:r>
      <w:r>
        <w:rPr>
          <w:rStyle w:val="C3"/>
          <w:rFonts w:ascii="Microsoft YaHei UI" w:hAnsi="Microsoft YaHei UI"/>
          <w:color w:val="333333"/>
          <w:sz w:val="32"/>
        </w:rPr>
        <w:t>　违反本条例第二十五条第一款规定，拒不关闭设置在江河、湖泊上的排污口的，由水行政主管部门强制拆除，所需费用由原设置单位或者个人承担，并处以二万元以上十万元以下罚款。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违反本条例第三十条第一款规定，拒不执行年度用水指标的，由水行政主管部门责令限期改正；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逾期不改正的，予以核减下一年度的用水指标，处二万元以上十万元以下罚款，对直接负责的主管人员和其他直接责任人员可处五千元以下罚款。</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第四十二条</w:t>
      </w:r>
      <w:r>
        <w:rPr>
          <w:rStyle w:val="C3"/>
          <w:rFonts w:ascii="Microsoft YaHei UI" w:hAnsi="Microsoft YaHei UI"/>
          <w:color w:val="333333"/>
          <w:sz w:val="32"/>
        </w:rPr>
        <w:t>　违反本条例第三十一条规定，逾期不报或者瞒报、误报取用水量等相关数据的，由水行政主管部门责令限期改正，予以警告；超过两次的，予以核减下一年度的用水指标，处二千元以上一万元以下罚款。</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第四十三条</w:t>
      </w:r>
      <w:r>
        <w:rPr>
          <w:rStyle w:val="C3"/>
          <w:rFonts w:ascii="Microsoft YaHei UI" w:hAnsi="Microsoft YaHei UI"/>
          <w:color w:val="333333"/>
          <w:sz w:val="32"/>
        </w:rPr>
        <w:t>　水行政主管部门或者其他有关部门及其工作人员违反法定职责，玩忽职守、滥用职权、徇私舞弊的，由有权部门对直接负责的主管人员和其他直接责任人员给予行政处分；构成犯罪的，依法追究刑事责任。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第四十四条</w:t>
      </w:r>
      <w:r>
        <w:rPr>
          <w:rStyle w:val="C3"/>
          <w:rFonts w:ascii="Microsoft YaHei UI" w:hAnsi="Microsoft YaHei UI"/>
          <w:color w:val="333333"/>
          <w:sz w:val="32"/>
        </w:rPr>
        <w:t>　海水的开发、利用、保护和管理，依照有关法律、法规的规定执行。</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第四十五条</w:t>
      </w:r>
      <w:r>
        <w:rPr>
          <w:rStyle w:val="C3"/>
          <w:rFonts w:ascii="Microsoft YaHei UI" w:hAnsi="Microsoft YaHei UI"/>
          <w:color w:val="333333"/>
          <w:sz w:val="32"/>
        </w:rPr>
        <w:t>　本条例自２０１２年６月１日起施行。１９９５年１２月２９日厦门市人民政府令第２８号公布、１９９７年１２月２９日厦门市人民政府令第６９号修正的《厦门市水资源管理规定》同时废止。</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2016-10-17T06:27:00Z</dcterms:created>
  <cp:lastModifiedBy>f1TZOF\f1TZOF-</cp:lastModifiedBy>
  <dcterms:modified xsi:type="dcterms:W3CDTF">2024-08-28T01:36:39Z</dcterms:modified>
  <cp:revision>21</cp:revision>
</cp:coreProperties>
</file>