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BD9B05" Type="http://schemas.openxmlformats.org/officeDocument/2006/relationships/officeDocument" Target="/word/document.xml" /><Relationship Id="coreR2BBD9B0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湖北省雷电灾害防御条例</w:t>
      </w:r>
    </w:p>
    <w:p>
      <w:pPr>
        <w:pStyle w:val="P1"/>
        <w:widowControl w:val="0"/>
        <w:spacing w:lineRule="exact" w:line="570"/>
        <w:ind w:firstLine="500"/>
        <w:jc w:val="center"/>
        <w:rPr>
          <w:rStyle w:val="C3"/>
          <w:rFonts w:ascii="宋体" w:hAnsi="宋体"/>
          <w:color w:val="000000"/>
        </w:rPr>
      </w:pPr>
    </w:p>
    <w:p>
      <w:pPr>
        <w:pStyle w:val="P1"/>
        <w:widowControl w:val="0"/>
        <w:spacing w:lineRule="exact" w:line="570"/>
        <w:ind w:left="42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日湖北省第十届人民代表大会常务委员会第十五次会议通过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为了防御雷电灾害，保护公民的人身、财产安全和社会公共安全，促进经济建设和社会发展，根据《中华人民共和国气象法》和有关法律、法规，结合本省实际，制定本条例。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本省行政区域内防御雷电灾害及其相关活动，适用本条例。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本条例所称雷电灾害防御（以下简称防雷），是指对雷电灾害进行研究、监测、预警预报、防雷知识宣传教育，以及采用防雷装置，避免或者减轻雷电灾害的活动。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县级以上气象主管机构负责本行政区域内防雷管理工作。未设气象主管机构的县（市、区）的防雷管理工作，由上一级气象主管机构负责。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建设、规划、公安消防、工商行政管理、安全生产监督、质量技术监督等部门按照各自职责，协同做好有关防雷工作。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防雷工作坚持安全第一、预防为主、防治结合原则。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县级以上人民政府应当加强对防雷工作的领导，将防雷工作纳入当地经济和社会发展计划，制定并及时组织实施防雷应急预案和农村雷电灾害多发区的防雷措施，提高防雷能力。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鼓励开展防雷科学技术和防雷新产品的研究、开发和推广应用，提高防雷技术水平。对在防雷工作中做出突出贡献的单位和个人，各级人民政府或者气象主管机构应当给予表彰和奖励。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气象主管机构应当加强防雷科普教育的组织管理工作，利用各种形式和渠道定期开展公益性防雷知识宣传，增强公民的防雷意识。有关部门和新闻单位应当予以支持、配合。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机关、企业、事业单位、群众性自治组织和社区，应当结合实际，做好本单位、本地方群众性的防雷知识宣传教育。</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气象主管机构应当组织对防雷技术和雷电监测预警系统的研究和开发，建立并完善雷电灾害监测、预警系统和工作规范，组织城乡雷电灾害调查、鉴定和评估，提高雷电灾害预警和防雷减灾服务能力。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气象主管机构所属的气象台站应当开展雷电监测，及时向社会发布雷电预警预报。其他任何单位和个人不得向社会发布雷电预警预报。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下列建（构）筑物、场所或者设施必须安装符合技术规范要求的防雷装置：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（一）建筑物防雷设计规范规定的一、二、三类防雷建（构）筑物；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（二）重要的计算机设备和网络系统、电力、通信、广播电视设施，重要的导航场所和设施；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（三）易燃、易爆物品和化学危险物品的生产、储存设施和场所；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（四）重要储备物资的库储场所；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（五）法律、法规和规章规定应当安装防雷装置的其他场所和设施。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前款规定范围以外的场所和设施，根据防雷安全的需要，可以安装防雷装置。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必须安装防雷装置的新建、扩建、改建的建（构）筑物、场所和设施，建设单位应当将防雷装置的建设纳入计划，与主体工程或者整体项目同时设计、同时施工、同时投入使用。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从事防雷装置检测的企业和单位，必须具备相应的资质条件，并依照国家规定的资质认定权限取得省级以上气象主管机构颁发的资质证。禁止无资质或者超出资质范围承接防雷装置检测。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防雷工程专业设计、施工、防雷装置检测必须执行国家防雷标准和技术规范。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依法必须安装防雷装置的，建设单位应当按照国家规定，将防雷设计文件和相关材料报送当地气象主管机构审核。气象主管机构应当依法出具审核意见。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未经设计审核或者审核不合格的，建设单位不得开工建设。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变更和修改防雷设计方案，应当重新报审。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气象主管机构应当按照国家有关规定受理防雷装置设计审核申请，并自受理申请之日起十个工作日内完成审核。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防雷工程的建设单位应当按照审核同意的设计方案进行施工，并根据施工进度，选择具有相应资质的防雷检测机构进行跟踪检测。防雷检测机构应当对隐蔽工程逐项检测，并对检测报告负责。检测报告作为竣工验收的技术依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依法必须安装的防雷装置竣工后，建设单位应当依照规定向当地气象主管机构申请验收。其中新建、改建、扩建的建筑工程竣工验收时，建设单位申请当地气象主管机构对其防雷装置同时进行验收。未经验收或者验收不合格的，建设单位不得投入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气象主管机构应当在受理验收申请之日起五个工作日内依法完成验收工作，出具验收结论，并建立验收档案。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防雷装置实行定期检测制度。依法必须安装的防雷装置每年检测一次，其中易燃、易爆物品和化学危险物品的生产、储存设施和场所的防雷装置每半年检测一次。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防雷检测机构应当在资质核定的范围内进行检测，并对检测报告负责。在检测中发现雷电灾害事故隐患的，应当及时通知委托单位，并向气象主管机构报告。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防雷装置使用单位应当定期委托防雷检测机构进行检测，做好防雷装置的日常维护，发现事故隐患应当及时采取措施修复或者更换。任何单位和个人不得损毁或者随意变动防雷装置。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防雷产品应当符合国家质量标准，并具有产品合格证书和使用说明书。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禁止生产、销售不符合国家强制性标准或者国家明令淘汰的防雷产品。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遭受雷电灾害损失的单位和个人，应当及时向当地气象主管机构报告，并协助当地气象主管机构对雷电灾害情况的调查和鉴定。气象主管机构应当按照规定向当地人民政府和上级气象主管机构及时报告雷电灾情。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气象主管机构及其工作人员有下列行为之一的，由主管机构责令改正，并可对直接负责的主管人员或者直接责任人员给予行政处分；触犯法律的，依法承担相应的法律责任：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（一）违反规定发放防雷装置检测资质证书的；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（二）违反法定程序和技术规范对防雷装置设计进行审核的；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（三）违反法定程序和技术规范对防雷装置进行竣工验收的；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（四）有其他徇私舞弊、玩忽职守、滥用职权行为的。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违反本条例规定，有下列行为之一的，由县级以上气象主管机构按照权限责令限期改正，给予警告；逾期仍不改正的，可处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3</w:t>
      </w:r>
      <w:r>
        <w:rPr>
          <w:rStyle w:val="C3"/>
          <w:rFonts w:ascii="Microsoft YaHei UI" w:hAnsi="Microsoft YaHei UI"/>
          <w:color w:val="000000"/>
        </w:rPr>
        <w:t>万元以下的罚款；给他人造成损失的，依法承担赔偿责任：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（一）依法必须安装防雷装置而未安装的；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（二）防雷装置设计未经审核或者审核不合格擅自施工的；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（三）防雷装置竣工后未经验收或者验收不合格投入使用的；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（四）拒绝接受法定防雷检测机构对防雷装置依法实施的检测，或者擅自变动、损毁防雷装置的。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违反本条例规定，未取得防雷装置检测资质以及超出资质范围开展业务的，由县级以上气象主管机构责令停止违法行为，没收违法所得，并可处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万元以下的罚款；给他人造成损失的，依法承担赔偿责任。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从事防雷装置检测的单位，出具虚假检测报告的，由县级以上气象主管机构责令改正，给予警告；拒不改正的，撤销其防雷装置检测资质；给他人造成损失的，依法承担赔偿责任。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对违反本条例的行为，法律、行政法规已有处罚规定的，从其规定。</w:t>
      </w:r>
    </w:p>
    <w:p>
      <w:pPr>
        <w:pStyle w:val="P1"/>
        <w:widowControl w:val="0"/>
        <w:spacing w:lineRule="exact" w:line="570"/>
        <w:rPr>
          <w:rStyle w:val="C3"/>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本条例自</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DFD56EF">
      <w:start w:val="5"/>
      <w:numFmt w:val="bullet"/>
      <w:suff w:val="tab"/>
      <w:lvlText w:val="—"/>
      <w:lvlJc w:val="left"/>
      <w:pPr>
        <w:ind w:hanging="360" w:left="360"/>
      </w:pPr>
      <w:rPr>
        <w:rFonts w:ascii="宋体" w:hAnsi="宋体"/>
      </w:rPr>
    </w:lvl>
    <w:lvl w:ilvl="1" w:tplc="7A195197">
      <w:start w:val="1"/>
      <w:numFmt w:val="bullet"/>
      <w:suff w:val="tab"/>
      <w:lvlText w:val=""/>
      <w:lvlJc w:val="left"/>
      <w:pPr>
        <w:ind w:hanging="420" w:left="840"/>
      </w:pPr>
      <w:rPr>
        <w:rFonts w:ascii="Wingdings" w:hAnsi="Wingdings"/>
      </w:rPr>
    </w:lvl>
    <w:lvl w:ilvl="2" w:tplc="42AA6ABC">
      <w:start w:val="1"/>
      <w:numFmt w:val="bullet"/>
      <w:suff w:val="tab"/>
      <w:lvlText w:val=""/>
      <w:lvlJc w:val="left"/>
      <w:pPr>
        <w:ind w:hanging="420" w:left="1260"/>
      </w:pPr>
      <w:rPr>
        <w:rFonts w:ascii="Wingdings" w:hAnsi="Wingdings"/>
      </w:rPr>
    </w:lvl>
    <w:lvl w:ilvl="3" w:tplc="346FF62B">
      <w:start w:val="1"/>
      <w:numFmt w:val="bullet"/>
      <w:suff w:val="tab"/>
      <w:lvlText w:val=""/>
      <w:lvlJc w:val="left"/>
      <w:pPr>
        <w:ind w:hanging="420" w:left="1680"/>
      </w:pPr>
      <w:rPr>
        <w:rFonts w:ascii="Wingdings" w:hAnsi="Wingdings"/>
      </w:rPr>
    </w:lvl>
    <w:lvl w:ilvl="4" w:tplc="63295BBA">
      <w:start w:val="1"/>
      <w:numFmt w:val="bullet"/>
      <w:suff w:val="tab"/>
      <w:lvlText w:val=""/>
      <w:lvlJc w:val="left"/>
      <w:pPr>
        <w:ind w:hanging="420" w:left="2100"/>
      </w:pPr>
      <w:rPr>
        <w:rFonts w:ascii="Wingdings" w:hAnsi="Wingdings"/>
      </w:rPr>
    </w:lvl>
    <w:lvl w:ilvl="5" w:tplc="06293EDF">
      <w:start w:val="1"/>
      <w:numFmt w:val="bullet"/>
      <w:suff w:val="tab"/>
      <w:lvlText w:val=""/>
      <w:lvlJc w:val="left"/>
      <w:pPr>
        <w:ind w:hanging="420" w:left="2520"/>
      </w:pPr>
      <w:rPr>
        <w:rFonts w:ascii="Wingdings" w:hAnsi="Wingdings"/>
      </w:rPr>
    </w:lvl>
    <w:lvl w:ilvl="6" w:tplc="1E1A7A98">
      <w:start w:val="1"/>
      <w:numFmt w:val="bullet"/>
      <w:suff w:val="tab"/>
      <w:lvlText w:val=""/>
      <w:lvlJc w:val="left"/>
      <w:pPr>
        <w:ind w:hanging="420" w:left="2940"/>
      </w:pPr>
      <w:rPr>
        <w:rFonts w:ascii="Wingdings" w:hAnsi="Wingdings"/>
      </w:rPr>
    </w:lvl>
    <w:lvl w:ilvl="7" w:tplc="4E28DDFF">
      <w:start w:val="1"/>
      <w:numFmt w:val="bullet"/>
      <w:suff w:val="tab"/>
      <w:lvlText w:val=""/>
      <w:lvlJc w:val="left"/>
      <w:pPr>
        <w:ind w:hanging="420" w:left="3360"/>
      </w:pPr>
      <w:rPr>
        <w:rFonts w:ascii="Wingdings" w:hAnsi="Wingdings"/>
      </w:rPr>
    </w:lvl>
    <w:lvl w:ilvl="8" w:tplc="0A7E858E">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0635D026">
      <w:start w:val="5"/>
      <w:numFmt w:val="bullet"/>
      <w:suff w:val="tab"/>
      <w:lvlText w:val="—"/>
      <w:lvlJc w:val="left"/>
      <w:pPr>
        <w:ind w:hanging="360" w:left="930"/>
      </w:pPr>
      <w:rPr>
        <w:rFonts w:ascii="宋体" w:hAnsi="宋体"/>
      </w:rPr>
    </w:lvl>
    <w:lvl w:ilvl="1" w:tplc="21D4200C">
      <w:start w:val="1"/>
      <w:numFmt w:val="bullet"/>
      <w:suff w:val="tab"/>
      <w:lvlText w:val=""/>
      <w:lvlJc w:val="left"/>
      <w:pPr>
        <w:ind w:hanging="420" w:left="1410"/>
      </w:pPr>
      <w:rPr>
        <w:rFonts w:ascii="Wingdings" w:hAnsi="Wingdings"/>
      </w:rPr>
    </w:lvl>
    <w:lvl w:ilvl="2" w:tplc="2A0B3EBD">
      <w:start w:val="1"/>
      <w:numFmt w:val="bullet"/>
      <w:suff w:val="tab"/>
      <w:lvlText w:val=""/>
      <w:lvlJc w:val="left"/>
      <w:pPr>
        <w:ind w:hanging="420" w:left="1830"/>
      </w:pPr>
      <w:rPr>
        <w:rFonts w:ascii="Wingdings" w:hAnsi="Wingdings"/>
      </w:rPr>
    </w:lvl>
    <w:lvl w:ilvl="3" w:tplc="69CF8E97">
      <w:start w:val="1"/>
      <w:numFmt w:val="bullet"/>
      <w:suff w:val="tab"/>
      <w:lvlText w:val=""/>
      <w:lvlJc w:val="left"/>
      <w:pPr>
        <w:ind w:hanging="420" w:left="2250"/>
      </w:pPr>
      <w:rPr>
        <w:rFonts w:ascii="Wingdings" w:hAnsi="Wingdings"/>
      </w:rPr>
    </w:lvl>
    <w:lvl w:ilvl="4" w:tplc="1618EC38">
      <w:start w:val="1"/>
      <w:numFmt w:val="bullet"/>
      <w:suff w:val="tab"/>
      <w:lvlText w:val=""/>
      <w:lvlJc w:val="left"/>
      <w:pPr>
        <w:ind w:hanging="420" w:left="2670"/>
      </w:pPr>
      <w:rPr>
        <w:rFonts w:ascii="Wingdings" w:hAnsi="Wingdings"/>
      </w:rPr>
    </w:lvl>
    <w:lvl w:ilvl="5" w:tplc="7C4384F5">
      <w:start w:val="1"/>
      <w:numFmt w:val="bullet"/>
      <w:suff w:val="tab"/>
      <w:lvlText w:val=""/>
      <w:lvlJc w:val="left"/>
      <w:pPr>
        <w:ind w:hanging="420" w:left="3090"/>
      </w:pPr>
      <w:rPr>
        <w:rFonts w:ascii="Wingdings" w:hAnsi="Wingdings"/>
      </w:rPr>
    </w:lvl>
    <w:lvl w:ilvl="6" w:tplc="53A810A1">
      <w:start w:val="1"/>
      <w:numFmt w:val="bullet"/>
      <w:suff w:val="tab"/>
      <w:lvlText w:val=""/>
      <w:lvlJc w:val="left"/>
      <w:pPr>
        <w:ind w:hanging="420" w:left="3510"/>
      </w:pPr>
      <w:rPr>
        <w:rFonts w:ascii="Wingdings" w:hAnsi="Wingdings"/>
      </w:rPr>
    </w:lvl>
    <w:lvl w:ilvl="7" w:tplc="7373B2EB">
      <w:start w:val="1"/>
      <w:numFmt w:val="bullet"/>
      <w:suff w:val="tab"/>
      <w:lvlText w:val=""/>
      <w:lvlJc w:val="left"/>
      <w:pPr>
        <w:ind w:hanging="420" w:left="3930"/>
      </w:pPr>
      <w:rPr>
        <w:rFonts w:ascii="Wingdings" w:hAnsi="Wingdings"/>
      </w:rPr>
    </w:lvl>
    <w:lvl w:ilvl="8" w:tplc="6515E3D5">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013B70AF">
      <w:start w:val="5"/>
      <w:numFmt w:val="bullet"/>
      <w:suff w:val="tab"/>
      <w:lvlText w:val="—"/>
      <w:lvlJc w:val="left"/>
      <w:pPr>
        <w:ind w:hanging="360" w:left="1290"/>
      </w:pPr>
      <w:rPr>
        <w:rFonts w:ascii="宋体" w:hAnsi="宋体"/>
      </w:rPr>
    </w:lvl>
    <w:lvl w:ilvl="1" w:tplc="0098B64A">
      <w:start w:val="1"/>
      <w:numFmt w:val="bullet"/>
      <w:suff w:val="tab"/>
      <w:lvlText w:val=""/>
      <w:lvlJc w:val="left"/>
      <w:pPr>
        <w:ind w:hanging="420" w:left="1770"/>
      </w:pPr>
      <w:rPr>
        <w:rFonts w:ascii="Wingdings" w:hAnsi="Wingdings"/>
      </w:rPr>
    </w:lvl>
    <w:lvl w:ilvl="2" w:tplc="2E9F90CA">
      <w:start w:val="1"/>
      <w:numFmt w:val="bullet"/>
      <w:suff w:val="tab"/>
      <w:lvlText w:val=""/>
      <w:lvlJc w:val="left"/>
      <w:pPr>
        <w:ind w:hanging="420" w:left="2190"/>
      </w:pPr>
      <w:rPr>
        <w:rFonts w:ascii="Wingdings" w:hAnsi="Wingdings"/>
      </w:rPr>
    </w:lvl>
    <w:lvl w:ilvl="3" w:tplc="677F1593">
      <w:start w:val="1"/>
      <w:numFmt w:val="bullet"/>
      <w:suff w:val="tab"/>
      <w:lvlText w:val=""/>
      <w:lvlJc w:val="left"/>
      <w:pPr>
        <w:ind w:hanging="420" w:left="2610"/>
      </w:pPr>
      <w:rPr>
        <w:rFonts w:ascii="Wingdings" w:hAnsi="Wingdings"/>
      </w:rPr>
    </w:lvl>
    <w:lvl w:ilvl="4" w:tplc="7165A1AD">
      <w:start w:val="1"/>
      <w:numFmt w:val="bullet"/>
      <w:suff w:val="tab"/>
      <w:lvlText w:val=""/>
      <w:lvlJc w:val="left"/>
      <w:pPr>
        <w:ind w:hanging="420" w:left="3030"/>
      </w:pPr>
      <w:rPr>
        <w:rFonts w:ascii="Wingdings" w:hAnsi="Wingdings"/>
      </w:rPr>
    </w:lvl>
    <w:lvl w:ilvl="5" w:tplc="5996505E">
      <w:start w:val="1"/>
      <w:numFmt w:val="bullet"/>
      <w:suff w:val="tab"/>
      <w:lvlText w:val=""/>
      <w:lvlJc w:val="left"/>
      <w:pPr>
        <w:ind w:hanging="420" w:left="3450"/>
      </w:pPr>
      <w:rPr>
        <w:rFonts w:ascii="Wingdings" w:hAnsi="Wingdings"/>
      </w:rPr>
    </w:lvl>
    <w:lvl w:ilvl="6" w:tplc="7DBBDC76">
      <w:start w:val="1"/>
      <w:numFmt w:val="bullet"/>
      <w:suff w:val="tab"/>
      <w:lvlText w:val=""/>
      <w:lvlJc w:val="left"/>
      <w:pPr>
        <w:ind w:hanging="420" w:left="3870"/>
      </w:pPr>
      <w:rPr>
        <w:rFonts w:ascii="Wingdings" w:hAnsi="Wingdings"/>
      </w:rPr>
    </w:lvl>
    <w:lvl w:ilvl="7" w:tplc="0E49A3C9">
      <w:start w:val="1"/>
      <w:numFmt w:val="bullet"/>
      <w:suff w:val="tab"/>
      <w:lvlText w:val=""/>
      <w:lvlJc w:val="left"/>
      <w:pPr>
        <w:ind w:hanging="420" w:left="4290"/>
      </w:pPr>
      <w:rPr>
        <w:rFonts w:ascii="Wingdings" w:hAnsi="Wingdings"/>
      </w:rPr>
    </w:lvl>
    <w:lvl w:ilvl="8" w:tplc="1D79DAF7">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2017-12-28T12:57:00Z</dcterms:created>
  <cp:lastModifiedBy>f1TZOF\f1TZOF-</cp:lastModifiedBy>
  <cp:lastPrinted>2017-12-26T06:41:00Z</cp:lastPrinted>
  <dcterms:modified xsi:type="dcterms:W3CDTF">2024-08-28T01:36:47Z</dcterms:modified>
  <cp:revision>3</cp:revision>
  <dc:title>湖北省劳动力市场管理条例</dc:title>
</cp:coreProperties>
</file>