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4975428" Type="http://schemas.openxmlformats.org/officeDocument/2006/relationships/officeDocument" Target="/word/document.xml" /><Relationship Id="coreR14975428" Type="http://schemas.openxmlformats.org/package/2006/relationships/metadata/core-properties" Target="/docProps/core.xml" /><Relationship Id="customR1497542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7"/>
        <w:spacing w:lineRule="exact" w:line="540" w:after="0"/>
        <w:ind w:firstLine="0"/>
        <w:jc w:val="center"/>
        <w:rPr>
          <w:rStyle w:val="C3"/>
          <w:rFonts w:ascii="宋体" w:hAnsi="宋体"/>
          <w:b w:val="1"/>
          <w:sz w:val="44"/>
        </w:rPr>
      </w:pPr>
      <w:r>
        <w:rPr>
          <w:rStyle w:val="C3"/>
          <w:rFonts w:ascii="宋体" w:hAnsi="宋体"/>
          <w:b w:val="1"/>
          <w:sz w:val="44"/>
        </w:rPr>
        <w:t xml:space="preserve"> </w:t>
      </w:r>
    </w:p>
    <w:p>
      <w:pPr>
        <w:pStyle w:val="P7"/>
        <w:spacing w:lineRule="exact" w:line="540" w:after="0"/>
        <w:ind w:firstLine="0"/>
        <w:jc w:val="center"/>
        <w:rPr>
          <w:rStyle w:val="C3"/>
          <w:rFonts w:ascii="宋体" w:hAnsi="宋体"/>
          <w:b w:val="1"/>
          <w:sz w:val="44"/>
        </w:rPr>
      </w:pPr>
    </w:p>
    <w:p>
      <w:pPr>
        <w:pStyle w:val="P7"/>
        <w:spacing w:lineRule="exact" w:line="540" w:after="0"/>
        <w:ind w:firstLine="0"/>
        <w:jc w:val="center"/>
        <w:rPr>
          <w:rStyle w:val="C3"/>
          <w:rFonts w:ascii="宋体" w:hAnsi="宋体"/>
          <w:b w:val="0"/>
          <w:sz w:val="44"/>
        </w:rPr>
      </w:pPr>
      <w:r>
        <w:rPr>
          <w:rStyle w:val="C3"/>
          <w:rFonts w:ascii="宋体" w:hAnsi="宋体"/>
          <w:b w:val="0"/>
          <w:sz w:val="44"/>
        </w:rPr>
        <w:t>深圳市建筑市场严重违法行为</w:t>
      </w:r>
    </w:p>
    <w:p>
      <w:pPr>
        <w:pStyle w:val="P7"/>
        <w:spacing w:lineRule="exact" w:line="540" w:after="0"/>
        <w:ind w:firstLine="0"/>
        <w:jc w:val="center"/>
        <w:rPr>
          <w:rStyle w:val="C3"/>
          <w:rFonts w:ascii="宋体" w:hAnsi="宋体"/>
          <w:b w:val="0"/>
          <w:sz w:val="44"/>
        </w:rPr>
      </w:pPr>
      <w:r>
        <w:rPr>
          <w:rStyle w:val="C3"/>
          <w:rFonts w:ascii="宋体" w:hAnsi="宋体"/>
          <w:b w:val="0"/>
          <w:sz w:val="44"/>
        </w:rPr>
        <w:t>特别处理规定</w:t>
      </w:r>
    </w:p>
    <w:p>
      <w:pPr>
        <w:pStyle w:val="P1"/>
        <w:spacing w:lineRule="exact" w:line="560"/>
        <w:jc w:val="center"/>
        <w:rPr>
          <w:rStyle w:val="C3"/>
          <w:rFonts w:ascii="楷体_GB2312" w:hAnsi="楷体_GB2312"/>
          <w:sz w:val="28"/>
        </w:rPr>
      </w:pPr>
    </w:p>
    <w:p>
      <w:pPr>
        <w:pStyle w:val="P1"/>
        <w:spacing w:lineRule="exact" w:line="56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日深圳市第四届人民代表大会常务委员会第十次会议通过</w:t>
      </w:r>
      <w:r>
        <w:rPr>
          <w:rStyle w:val="C3"/>
          <w:rFonts w:ascii="楷体_GB2312" w:hAnsi="楷体_GB2312"/>
          <w:sz w:val="32"/>
        </w:rPr>
        <w:t xml:space="preserve">  2007</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日广东省第十届人民代表大会常务委员会第三十三次会议批准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日深圳市第六届人民代表大会常务委员会第三十六次会议通过并经</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日广东省第十三届人民代表大会常务委员会第二十一次会议批准的《关于修改〈深圳市安全管理条例〉等十三项法规的决定》修正</w:t>
      </w:r>
      <w:r>
        <w:rPr>
          <w:rStyle w:val="C3"/>
          <w:rFonts w:ascii="楷体_GB2312" w:hAnsi="楷体_GB2312"/>
          <w:sz w:val="32"/>
        </w:rPr>
        <w:t xml:space="preserve"> </w:t>
      </w:r>
      <w:r>
        <w:rPr>
          <w:rStyle w:val="C3"/>
          <w:rFonts w:ascii="Microsoft YaHei UI" w:hAnsi="Microsoft YaHei UI"/>
          <w:sz w:val="32"/>
        </w:rPr>
        <w:t>）</w:t>
      </w:r>
    </w:p>
    <w:p>
      <w:pPr>
        <w:pStyle w:val="P1"/>
        <w:spacing w:lineRule="exact" w:line="540"/>
        <w:jc w:val="center"/>
        <w:rPr>
          <w:rStyle w:val="C3"/>
          <w:sz w:val="28"/>
        </w:rPr>
      </w:pPr>
    </w:p>
    <w:p>
      <w:pPr>
        <w:pStyle w:val="P1"/>
        <w:spacing w:lineRule="exact" w:line="54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为了维护公共安全和社会稳定，加强对建筑市场严重违法行为的处理，根据有关法律、法规，结合本市实际，制定本规定。</w:t>
      </w:r>
    </w:p>
    <w:p>
      <w:pPr>
        <w:pStyle w:val="P1"/>
        <w:spacing w:lineRule="exact" w:line="540"/>
        <w:ind w:firstLine="640"/>
        <w:rPr>
          <w:rStyle w:val="C3"/>
          <w:rFonts w:ascii="仿宋_GB2312" w:hAnsi="仿宋_GB2312"/>
          <w:sz w:val="32"/>
        </w:rPr>
      </w:pPr>
      <w:r>
        <w:rPr>
          <w:rStyle w:val="C3"/>
          <w:rFonts w:ascii="黑体" w:hAnsi="黑体"/>
          <w:sz w:val="32"/>
        </w:rPr>
        <w:t>第二条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本规定所称建筑市场严重违法行为包括：</w:t>
      </w:r>
    </w:p>
    <w:p>
      <w:pPr>
        <w:pStyle w:val="P1"/>
        <w:spacing w:lineRule="exact" w:line="540"/>
        <w:ind w:firstLine="640"/>
        <w:rPr>
          <w:rStyle w:val="C3"/>
          <w:rFonts w:ascii="仿宋_GB2312" w:hAnsi="仿宋_GB2312"/>
          <w:sz w:val="32"/>
        </w:rPr>
      </w:pPr>
      <w:r>
        <w:rPr>
          <w:rStyle w:val="C3"/>
          <w:rFonts w:ascii="Microsoft YaHei UI" w:hAnsi="Microsoft YaHei UI"/>
          <w:sz w:val="32"/>
        </w:rPr>
        <w:t>（一）违反安全生产、工程质量管理规定，导致事故发生，或者存在事故隐患拒不整改的；</w:t>
      </w:r>
    </w:p>
    <w:p>
      <w:pPr>
        <w:pStyle w:val="P1"/>
        <w:spacing w:lineRule="exact" w:line="540"/>
        <w:ind w:firstLine="640"/>
        <w:rPr>
          <w:rStyle w:val="C3"/>
          <w:rFonts w:ascii="仿宋_GB2312" w:hAnsi="仿宋_GB2312"/>
          <w:i w:val="1"/>
          <w:sz w:val="32"/>
          <w:u w:val="single"/>
        </w:rPr>
      </w:pPr>
      <w:r>
        <w:rPr>
          <w:rStyle w:val="C3"/>
          <w:rFonts w:ascii="Microsoft YaHei UI" w:hAnsi="Microsoft YaHei UI"/>
          <w:sz w:val="32"/>
        </w:rPr>
        <w:t>（二）违反工程招标投标管理规定，串通投标的；</w:t>
      </w:r>
    </w:p>
    <w:p>
      <w:pPr>
        <w:pStyle w:val="P1"/>
        <w:spacing w:lineRule="exact" w:line="540"/>
        <w:ind w:firstLine="640"/>
        <w:rPr>
          <w:rStyle w:val="C3"/>
          <w:rFonts w:ascii="仿宋_GB2312" w:hAnsi="仿宋_GB2312"/>
          <w:sz w:val="32"/>
        </w:rPr>
      </w:pPr>
      <w:r>
        <w:rPr>
          <w:rStyle w:val="C3"/>
          <w:rFonts w:ascii="Microsoft YaHei UI" w:hAnsi="Microsoft YaHei UI"/>
          <w:sz w:val="32"/>
        </w:rPr>
        <w:t>（三）拖欠劳务工工资，情节严重的。</w:t>
      </w:r>
    </w:p>
    <w:p>
      <w:pPr>
        <w:pStyle w:val="P1"/>
        <w:spacing w:lineRule="exact" w:line="54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施工单位违反安全生产、工程质量管理规定，导致事故发生的，由市住房建设部门按照下列规定暂扣其资质证书：</w:t>
      </w:r>
    </w:p>
    <w:p>
      <w:pPr>
        <w:pStyle w:val="P1"/>
        <w:spacing w:lineRule="exact" w:line="540"/>
        <w:ind w:firstLine="640"/>
        <w:rPr>
          <w:rStyle w:val="C3"/>
          <w:rFonts w:ascii="仿宋_GB2312" w:hAnsi="仿宋_GB2312"/>
          <w:sz w:val="32"/>
        </w:rPr>
      </w:pPr>
      <w:r>
        <w:rPr>
          <w:rStyle w:val="C3"/>
          <w:rFonts w:ascii="Microsoft YaHei UI" w:hAnsi="Microsoft YaHei UI"/>
          <w:sz w:val="32"/>
        </w:rPr>
        <w:t>（一）发生一般事故的，暂扣期限为一个月至三个月；</w:t>
      </w:r>
    </w:p>
    <w:p>
      <w:pPr>
        <w:pStyle w:val="P4"/>
        <w:spacing w:lineRule="exact" w:line="540"/>
      </w:pPr>
      <w:r>
        <w:rPr>
          <w:rFonts w:ascii="Microsoft YaHei UI" w:hAnsi="Microsoft YaHei UI"/>
        </w:rPr>
        <w:t>（二）发生较大事故的，暂扣期限为四个月至六个月；</w:t>
      </w:r>
    </w:p>
    <w:p>
      <w:pPr>
        <w:pStyle w:val="P1"/>
        <w:spacing w:lineRule="exact" w:line="540"/>
        <w:ind w:firstLine="640"/>
        <w:rPr>
          <w:rStyle w:val="C3"/>
          <w:rFonts w:ascii="仿宋_GB2312" w:hAnsi="仿宋_GB2312"/>
          <w:sz w:val="32"/>
        </w:rPr>
      </w:pPr>
      <w:r>
        <w:rPr>
          <w:rStyle w:val="C3"/>
          <w:rFonts w:ascii="Microsoft YaHei UI" w:hAnsi="Microsoft YaHei UI"/>
          <w:sz w:val="32"/>
        </w:rPr>
        <w:t>（三）发生重大事故或者特别重大事故的，暂扣期限为七个月至十二个月。</w:t>
      </w:r>
    </w:p>
    <w:p>
      <w:pPr>
        <w:pStyle w:val="P1"/>
        <w:spacing w:lineRule="exact" w:line="540"/>
        <w:ind w:firstLine="640"/>
        <w:rPr>
          <w:rStyle w:val="C3"/>
          <w:rFonts w:ascii="仿宋_GB2312" w:hAnsi="仿宋_GB2312"/>
          <w:sz w:val="32"/>
        </w:rPr>
      </w:pPr>
      <w:r>
        <w:rPr>
          <w:rStyle w:val="C3"/>
          <w:rFonts w:ascii="Microsoft YaHei UI" w:hAnsi="Microsoft YaHei UI"/>
          <w:sz w:val="32"/>
        </w:rPr>
        <w:t>对负有事故责任的有关人员，由市住房建设部门及有关部门按照前款规定的期限依法暂扣其与安全生产相关的执业资格证书、岗位证书。</w:t>
      </w:r>
    </w:p>
    <w:p>
      <w:pPr>
        <w:pStyle w:val="P1"/>
        <w:spacing w:lineRule="exact" w:line="54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仿宋_GB2312" w:hAnsi="仿宋_GB2312"/>
          <w:b w:val="1"/>
          <w:sz w:val="32"/>
        </w:rPr>
        <w:t xml:space="preserve"> </w:t>
      </w:r>
      <w:r>
        <w:rPr>
          <w:rStyle w:val="C3"/>
          <w:rFonts w:ascii="Microsoft YaHei UI" w:hAnsi="Microsoft YaHei UI"/>
          <w:sz w:val="32"/>
        </w:rPr>
        <w:t>工程勘察、设计、监理、检测等单位对事故发生负有责任的，由市住房建设部门按照下列规定暂扣其资质证书：</w:t>
      </w:r>
    </w:p>
    <w:p>
      <w:pPr>
        <w:pStyle w:val="P1"/>
        <w:spacing w:lineRule="exact" w:line="540"/>
        <w:ind w:firstLine="640"/>
        <w:rPr>
          <w:rStyle w:val="C3"/>
          <w:rFonts w:ascii="仿宋_GB2312" w:hAnsi="仿宋_GB2312"/>
          <w:sz w:val="32"/>
        </w:rPr>
      </w:pPr>
      <w:r>
        <w:rPr>
          <w:rStyle w:val="C3"/>
          <w:rFonts w:ascii="Microsoft YaHei UI" w:hAnsi="Microsoft YaHei UI"/>
          <w:sz w:val="32"/>
        </w:rPr>
        <w:t>（一）发生一般事故的，暂扣期限为一个月至二个月；</w:t>
      </w:r>
      <w:r>
        <w:rPr>
          <w:rStyle w:val="C3"/>
          <w:rFonts w:ascii="仿宋_GB2312" w:hAnsi="仿宋_GB2312"/>
          <w:sz w:val="32"/>
        </w:rPr>
        <w:t xml:space="preserve"> </w:t>
      </w:r>
    </w:p>
    <w:p>
      <w:pPr>
        <w:pStyle w:val="P1"/>
        <w:spacing w:lineRule="exact" w:line="540"/>
        <w:ind w:firstLine="640"/>
        <w:rPr>
          <w:rStyle w:val="C3"/>
          <w:rFonts w:ascii="仿宋_GB2312" w:hAnsi="仿宋_GB2312"/>
          <w:sz w:val="32"/>
        </w:rPr>
      </w:pPr>
      <w:r>
        <w:rPr>
          <w:rStyle w:val="C3"/>
          <w:rFonts w:ascii="Microsoft YaHei UI" w:hAnsi="Microsoft YaHei UI"/>
          <w:sz w:val="32"/>
        </w:rPr>
        <w:t>（二）发生较大事故的，暂扣期限为三个月至四个月；</w:t>
      </w:r>
    </w:p>
    <w:p>
      <w:pPr>
        <w:pStyle w:val="P4"/>
        <w:spacing w:lineRule="exact" w:line="540"/>
      </w:pPr>
      <w:r>
        <w:rPr>
          <w:rFonts w:ascii="Microsoft YaHei UI" w:hAnsi="Microsoft YaHei UI"/>
        </w:rPr>
        <w:t>（三）发生重大事故或者特别重大事故的，暂扣期限为五个月至六个月。</w:t>
      </w:r>
    </w:p>
    <w:p>
      <w:pPr>
        <w:pStyle w:val="P1"/>
        <w:spacing w:lineRule="exact" w:line="540"/>
        <w:ind w:firstLine="640"/>
        <w:rPr>
          <w:rStyle w:val="C3"/>
          <w:rFonts w:ascii="仿宋_GB2312" w:hAnsi="仿宋_GB2312"/>
          <w:sz w:val="32"/>
        </w:rPr>
      </w:pPr>
      <w:r>
        <w:rPr>
          <w:rStyle w:val="C3"/>
          <w:rFonts w:ascii="Microsoft YaHei UI" w:hAnsi="Microsoft YaHei UI"/>
          <w:sz w:val="32"/>
        </w:rPr>
        <w:t>对负有事故责任的有关人员，由市住房建设部门及有关部门按照前款规定的期限依法暂扣其与安全生产相关的执业资格证书、岗位证书。</w:t>
      </w:r>
    </w:p>
    <w:p>
      <w:pPr>
        <w:pStyle w:val="P1"/>
        <w:spacing w:lineRule="exact" w:line="54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工程勘察、设计、施工、监理、检测单位违反安全生产、工程质量管理规定，存在事故隐患，经住房建设部门责令限期整改，逾期拒不整改或者整改不合格的，由市住房建设部门暂扣其资质证书，直至整改合格。</w:t>
      </w:r>
    </w:p>
    <w:p>
      <w:pPr>
        <w:pStyle w:val="P1"/>
        <w:spacing w:lineRule="exact" w:line="540"/>
        <w:ind w:firstLine="640"/>
        <w:rPr>
          <w:rStyle w:val="C3"/>
          <w:rFonts w:ascii="仿宋_GB2312" w:hAnsi="仿宋_GB2312"/>
          <w:sz w:val="32"/>
        </w:rPr>
      </w:pPr>
      <w:r>
        <w:rPr>
          <w:rStyle w:val="C3"/>
          <w:rFonts w:ascii="黑体" w:hAnsi="黑体"/>
          <w:sz w:val="32"/>
        </w:rPr>
        <w:t>第六条</w:t>
      </w:r>
      <w:r>
        <w:rPr>
          <w:rStyle w:val="C3"/>
          <w:rFonts w:ascii="仿宋_GB2312" w:hAnsi="仿宋_GB2312"/>
          <w:b w:val="1"/>
          <w:sz w:val="32"/>
        </w:rPr>
        <w:t xml:space="preserve"> </w:t>
      </w:r>
      <w:r>
        <w:rPr>
          <w:rStyle w:val="C3"/>
          <w:rFonts w:ascii="Microsoft YaHei UI" w:hAnsi="Microsoft YaHei UI"/>
          <w:sz w:val="32"/>
        </w:rPr>
        <w:t>工程建设项目投标人有下列情形之一的，按照串通投标处理，由住房建设部门依法给予处罚：</w:t>
      </w:r>
      <w:r>
        <w:rPr>
          <w:rStyle w:val="C3"/>
          <w:rFonts w:ascii="仿宋_GB2312" w:hAnsi="仿宋_GB2312"/>
          <w:sz w:val="32"/>
        </w:rPr>
        <w:t xml:space="preserve"> </w:t>
      </w:r>
    </w:p>
    <w:p>
      <w:pPr>
        <w:pStyle w:val="P1"/>
        <w:spacing w:lineRule="exact" w:line="540"/>
        <w:ind w:firstLine="640"/>
        <w:rPr>
          <w:rStyle w:val="C3"/>
          <w:rFonts w:ascii="仿宋_GB2312" w:hAnsi="仿宋_GB2312"/>
          <w:sz w:val="32"/>
        </w:rPr>
      </w:pPr>
      <w:r>
        <w:rPr>
          <w:rStyle w:val="C3"/>
          <w:rFonts w:ascii="Microsoft YaHei UI" w:hAnsi="Microsoft YaHei UI"/>
          <w:sz w:val="32"/>
        </w:rPr>
        <w:t>（一）不同投标人投标文件内容存在非正常一致的；</w:t>
      </w:r>
    </w:p>
    <w:p>
      <w:pPr>
        <w:pStyle w:val="P1"/>
        <w:spacing w:lineRule="exact" w:line="540"/>
        <w:ind w:firstLine="640"/>
        <w:rPr>
          <w:rStyle w:val="C3"/>
          <w:rFonts w:ascii="仿宋_GB2312" w:hAnsi="仿宋_GB2312"/>
          <w:sz w:val="32"/>
        </w:rPr>
      </w:pPr>
      <w:r>
        <w:rPr>
          <w:rStyle w:val="C3"/>
          <w:rFonts w:ascii="Microsoft YaHei UI" w:hAnsi="Microsoft YaHei UI"/>
          <w:sz w:val="32"/>
        </w:rPr>
        <w:t>（二）不同投标人的投标报价或者报价组成存在非正常一致或者呈规律性变化的；</w:t>
      </w:r>
    </w:p>
    <w:p>
      <w:pPr>
        <w:pStyle w:val="P1"/>
        <w:spacing w:lineRule="exact" w:line="540"/>
        <w:ind w:firstLine="640"/>
        <w:rPr>
          <w:rStyle w:val="C3"/>
          <w:rFonts w:ascii="仿宋_GB2312" w:hAnsi="仿宋_GB2312"/>
          <w:sz w:val="32"/>
        </w:rPr>
      </w:pPr>
      <w:r>
        <w:rPr>
          <w:rStyle w:val="C3"/>
          <w:rFonts w:ascii="Microsoft YaHei UI" w:hAnsi="Microsoft YaHei UI"/>
          <w:sz w:val="32"/>
        </w:rPr>
        <w:t>（三）不同投标人的投标文件由同一单位或者同一人编制或者提供咨询服务并对投标文件形成具有实质性影响的；</w:t>
      </w:r>
    </w:p>
    <w:p>
      <w:pPr>
        <w:pStyle w:val="P1"/>
        <w:spacing w:lineRule="exact" w:line="540"/>
        <w:ind w:firstLine="640"/>
        <w:rPr>
          <w:rStyle w:val="C3"/>
          <w:rFonts w:ascii="仿宋_GB2312" w:hAnsi="仿宋_GB2312"/>
          <w:sz w:val="32"/>
        </w:rPr>
      </w:pPr>
      <w:r>
        <w:rPr>
          <w:rStyle w:val="C3"/>
          <w:rFonts w:ascii="Microsoft YaHei UI" w:hAnsi="Microsoft YaHei UI"/>
          <w:sz w:val="32"/>
        </w:rPr>
        <w:t>（四）不同投标人的投标文件载明的项目管理人员出现同一人的；</w:t>
      </w:r>
    </w:p>
    <w:p>
      <w:pPr>
        <w:pStyle w:val="P1"/>
        <w:spacing w:lineRule="exact" w:line="540"/>
        <w:ind w:firstLine="640"/>
        <w:rPr>
          <w:rStyle w:val="C3"/>
          <w:rFonts w:ascii="仿宋_GB2312" w:hAnsi="仿宋_GB2312"/>
          <w:sz w:val="32"/>
        </w:rPr>
      </w:pPr>
      <w:r>
        <w:rPr>
          <w:rStyle w:val="C3"/>
          <w:rFonts w:ascii="Microsoft YaHei UI" w:hAnsi="Microsoft YaHei UI"/>
          <w:sz w:val="32"/>
        </w:rPr>
        <w:t>（五）不同投标人的投标文件相互混装的；</w:t>
      </w:r>
    </w:p>
    <w:p>
      <w:pPr>
        <w:pStyle w:val="P1"/>
        <w:spacing w:lineRule="exact" w:line="540"/>
        <w:ind w:firstLine="640"/>
        <w:rPr>
          <w:rStyle w:val="C3"/>
          <w:rFonts w:ascii="仿宋_GB2312" w:hAnsi="仿宋_GB2312"/>
          <w:sz w:val="32"/>
        </w:rPr>
      </w:pPr>
      <w:r>
        <w:rPr>
          <w:rStyle w:val="C3"/>
          <w:rFonts w:ascii="Microsoft YaHei UI" w:hAnsi="Microsoft YaHei UI"/>
          <w:sz w:val="32"/>
        </w:rPr>
        <w:t>（六）不同投标人使用同一人或者同一单位的资金交纳投标保证金或者作为投标保函的反担保的；</w:t>
      </w:r>
    </w:p>
    <w:p>
      <w:pPr>
        <w:pStyle w:val="P1"/>
        <w:spacing w:lineRule="exact" w:line="540"/>
        <w:ind w:firstLine="640"/>
        <w:rPr>
          <w:rStyle w:val="C3"/>
          <w:rFonts w:ascii="仿宋_GB2312" w:hAnsi="仿宋_GB2312"/>
          <w:sz w:val="32"/>
        </w:rPr>
      </w:pPr>
      <w:r>
        <w:rPr>
          <w:rStyle w:val="C3"/>
          <w:rFonts w:ascii="Microsoft YaHei UI" w:hAnsi="Microsoft YaHei UI"/>
          <w:sz w:val="32"/>
        </w:rPr>
        <w:t>（七）不同投标人的投标文件由同一台电脑编制或者同一台附属设备打印的；</w:t>
      </w:r>
    </w:p>
    <w:p>
      <w:pPr>
        <w:pStyle w:val="P1"/>
        <w:spacing w:lineRule="exact" w:line="540"/>
        <w:ind w:firstLine="640"/>
        <w:rPr>
          <w:rStyle w:val="C3"/>
          <w:rFonts w:ascii="仿宋_GB2312" w:hAnsi="仿宋_GB2312"/>
          <w:sz w:val="32"/>
        </w:rPr>
      </w:pPr>
      <w:r>
        <w:rPr>
          <w:rStyle w:val="C3"/>
          <w:rFonts w:ascii="Microsoft YaHei UI" w:hAnsi="Microsoft YaHei UI"/>
          <w:sz w:val="32"/>
        </w:rPr>
        <w:t>（八）不同投标人委托同一人办理投标事务的；</w:t>
      </w:r>
    </w:p>
    <w:p>
      <w:pPr>
        <w:pStyle w:val="P1"/>
        <w:spacing w:lineRule="exact" w:line="540"/>
        <w:ind w:firstLine="640"/>
        <w:rPr>
          <w:rStyle w:val="C3"/>
          <w:rFonts w:ascii="仿宋_GB2312" w:hAnsi="仿宋_GB2312"/>
          <w:sz w:val="32"/>
        </w:rPr>
      </w:pPr>
      <w:r>
        <w:rPr>
          <w:rStyle w:val="C3"/>
          <w:rFonts w:ascii="Microsoft YaHei UI" w:hAnsi="Microsoft YaHei UI"/>
          <w:sz w:val="32"/>
        </w:rPr>
        <w:t>（九）住房建设部门依法认定的其他串通投标行为。</w:t>
      </w:r>
    </w:p>
    <w:p>
      <w:pPr>
        <w:pStyle w:val="P1"/>
        <w:spacing w:lineRule="exact" w:line="54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施工单位有下列情形之一，经有关部门查实认定，并催告后，仍不付清劳务工工资的，由市住房建设部门暂扣其资质证书直至付清工资：</w:t>
      </w:r>
    </w:p>
    <w:p>
      <w:pPr>
        <w:pStyle w:val="P1"/>
        <w:spacing w:lineRule="exact" w:line="540"/>
        <w:ind w:firstLine="640"/>
        <w:rPr>
          <w:rStyle w:val="C3"/>
          <w:rFonts w:ascii="仿宋_GB2312" w:hAnsi="仿宋_GB2312"/>
          <w:sz w:val="32"/>
        </w:rPr>
      </w:pPr>
      <w:r>
        <w:rPr>
          <w:rStyle w:val="C3"/>
          <w:rFonts w:ascii="Microsoft YaHei UI" w:hAnsi="Microsoft YaHei UI"/>
          <w:sz w:val="32"/>
        </w:rPr>
        <w:t>（一）拖欠工资三个月以上的；</w:t>
      </w:r>
    </w:p>
    <w:p>
      <w:pPr>
        <w:pStyle w:val="P1"/>
        <w:spacing w:lineRule="exact" w:line="540"/>
        <w:ind w:firstLine="640"/>
        <w:rPr>
          <w:rStyle w:val="C3"/>
          <w:rFonts w:ascii="仿宋_GB2312" w:hAnsi="仿宋_GB2312"/>
          <w:sz w:val="32"/>
        </w:rPr>
      </w:pPr>
      <w:r>
        <w:rPr>
          <w:rStyle w:val="C3"/>
          <w:rFonts w:ascii="Microsoft YaHei UI" w:hAnsi="Microsoft YaHei UI"/>
          <w:sz w:val="32"/>
        </w:rPr>
        <w:t>（二）拖欠工资数额五万元以上的；</w:t>
      </w:r>
    </w:p>
    <w:p>
      <w:pPr>
        <w:pStyle w:val="P1"/>
        <w:spacing w:lineRule="exact" w:line="540"/>
        <w:ind w:firstLine="640"/>
        <w:rPr>
          <w:rStyle w:val="C3"/>
          <w:rFonts w:ascii="仿宋_GB2312" w:hAnsi="仿宋_GB2312"/>
          <w:sz w:val="32"/>
        </w:rPr>
      </w:pPr>
      <w:r>
        <w:rPr>
          <w:rStyle w:val="C3"/>
          <w:rFonts w:ascii="Microsoft YaHei UI" w:hAnsi="Microsoft YaHei UI"/>
          <w:sz w:val="32"/>
        </w:rPr>
        <w:t>（三）拖欠工资人数达十人以上的。</w:t>
      </w:r>
    </w:p>
    <w:p>
      <w:pPr>
        <w:pStyle w:val="P1"/>
        <w:spacing w:lineRule="exact" w:line="54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在本市承接建设工程的勘察、设计、施工、监理、检测、造价咨询、招标代理等单位以及工程建设注册执业人员，应当向市住房建设部门申报信息，由市住房建设部门建立信用档案。</w:t>
      </w:r>
    </w:p>
    <w:p>
      <w:pPr>
        <w:pStyle w:val="P1"/>
        <w:spacing w:lineRule="exact" w:line="54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勘察、设计、施工、监理、检测、造价咨询、招标代理等单位及其工程建设注册执业人员违反有关法律、法规或者工程建设强制性标准的，市住房建设部门应当将其违法行为载入其信用档案，并予以公示。</w:t>
      </w:r>
    </w:p>
    <w:p>
      <w:pPr>
        <w:pStyle w:val="P1"/>
        <w:spacing w:lineRule="exact" w:line="540"/>
        <w:ind w:firstLine="640"/>
        <w:rPr>
          <w:rStyle w:val="C3"/>
          <w:rFonts w:ascii="仿宋_GB2312" w:hAnsi="仿宋_GB2312"/>
          <w:sz w:val="32"/>
        </w:rPr>
      </w:pPr>
      <w:r>
        <w:rPr>
          <w:rStyle w:val="C3"/>
          <w:rFonts w:ascii="黑体" w:hAnsi="黑体"/>
          <w:sz w:val="32"/>
        </w:rPr>
        <w:t>第十条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市住房建设部门依照本规定暂扣有关资质、资格证书的，应当通报该证书的颁发机关。</w:t>
      </w:r>
    </w:p>
    <w:p>
      <w:pPr>
        <w:pStyle w:val="P1"/>
        <w:spacing w:lineRule="exact" w:line="54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市住房建设部门违反规定暂扣资质、资格证书的，由有关部门对直接负责的主管人员和其他直接责任人员依法给予处分。</w:t>
      </w:r>
    </w:p>
    <w:p>
      <w:pPr>
        <w:pStyle w:val="P1"/>
        <w:spacing w:lineRule="exact" w:line="54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对市住房建设部门作出的暂扣资质、资格证书决定不服的，当事人可以依法申请行政复议或者提起行政诉讼。</w:t>
      </w:r>
    </w:p>
    <w:p>
      <w:pPr>
        <w:pStyle w:val="P7"/>
        <w:spacing w:lineRule="exact" w:line="540" w:after="0"/>
        <w:rPr>
          <w:rStyle w:val="C3"/>
          <w:rFonts w:ascii="仿宋_GB2312" w:hAnsi="仿宋_GB2312"/>
          <w:sz w:val="32"/>
        </w:rPr>
      </w:pPr>
      <w: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本规定自</w:t>
      </w:r>
      <w:r>
        <w:rPr>
          <w:rStyle w:val="C3"/>
          <w:rFonts w:ascii="仿宋_GB2312" w:hAnsi="仿宋_GB2312"/>
          <w:sz w:val="32"/>
        </w:rPr>
        <w:t>2007</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1814" w:header="1134"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2"/>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2"/>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posOffset>2183130</wp:posOffset>
              </wp:positionH>
              <wp:positionV relativeFrom="paragraph">
                <wp:posOffset>0</wp:posOffset>
              </wp:positionV>
              <wp:extent cx="617855" cy="208915"/>
              <wp:wrapNone/>
              <wp:docPr id="3" name="Text Box 3"/>
              <a:graphic xmlns:a="http://schemas.openxmlformats.org/drawingml/2006/main">
                <a:graphicData uri="http://schemas.microsoft.com/office/word/2010/wordprocessingShape">
                  <wps:wsp>
                    <wps:cNvSpPr/>
                    <wps:spPr>
                      <a:xfrm>
                        <a:off x="0" y="0"/>
                        <a:ext cx="617855" cy="208915"/>
                      </a:xfrm>
                      <a:prstGeom prst="rect"/>
                    </wps:spPr>
                    <wps:txbx>
                      <w:txbxContent>
                        <w:p>
                          <w:pPr>
                            <w:pStyle w:val="P2"/>
                            <w:tabs>
                              <w:tab w:val="center" w:pos="4153" w:leader="none"/>
                              <w:tab w:val="right" w:pos="8306" w:leader="none"/>
                            </w:tabs>
                            <w:rPr>
                              <w:rStyle w:val="C3"/>
                              <w:rFonts w:ascii="Times New Roman" w:hAnsi="Times New Roman"/>
                              <w:sz w:val="28"/>
                            </w:rPr>
                          </w:pPr>
                          <w:r>
                            <w:rPr>
                              <w:rStyle w:val="C3"/>
                              <w:rFonts w:ascii="Times New Roman" w:hAnsi="Times New Roman"/>
                              <w:sz w:val="28"/>
                            </w:rPr>
                            <w:t xml:space="preserve">    </w:t>
                          </w:r>
                        </w:p>
                      </w:txbxContent>
                    </wps:txbx>
                    <wps:bodyPr lIns="0" tIns="0" rIns="0" bIns="0"/>
                  </wps:wsp>
                </a:graphicData>
              </a:graphic>
            </wp:anchor>
          </w:drawing>
        </mc:Choice>
        <mc:Fallback>
          <w:pict>
            <v:shapetype id="4" path="m,l,21600r21600,l21600,xe"/>
            <v:shape xmlns:o="urn:schemas-microsoft-com:office:office" type="#4" id="Text Box 3" style="position:absolute;width:48.65pt;height:16.45pt;z-index:2;mso-wrap-distance-left:9pt;mso-wrap-distance-top:0pt;mso-wrap-distance-right:9pt;mso-wrap-distance-bottom:0pt;margin-left:171.9pt;margin-top:0pt;mso-position-horizontal:absolute;mso-position-horizontal-relative:margin;mso-position-vertical:absolute;mso-position-vertical-relative:text" stroked="f" o:allowincell="t">
              <v:textbox inset="0mm,0mm,0mm,0mm">
                <w:txbxContent>
                  <w:p>
                    <w:pPr>
                      <w:pStyle w:val="P2"/>
                      <w:tabs>
                        <w:tab w:val="center" w:pos="4153" w:leader="none"/>
                        <w:tab w:val="right" w:pos="8306" w:leader="none"/>
                      </w:tabs>
                      <w:rPr>
                        <w:rStyle w:val="C3"/>
                        <w:rFonts w:ascii="Times New Roman" w:hAnsi="Times New Roman"/>
                        <w:sz w:val="28"/>
                      </w:rPr>
                    </w:pPr>
                    <w:r>
                      <w:rPr>
                        <w:rStyle w:val="C3"/>
                        <w:rFonts w:ascii="Times New Roman" w:hAnsi="Times New Roman"/>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4"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2"/>
      <w:tabs>
        <w:tab w:val="center" w:pos="4153" w:leader="none"/>
        <w:tab w:val="right" w:pos="8306" w:leader="none"/>
      </w:tabs>
      <w:ind w:right="360"/>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pPr>
      <w:tabs>
        <w:tab w:val="center" w:pos="4153" w:leader="none"/>
        <w:tab w:val="right" w:pos="8306" w:leader="none"/>
      </w:tabs>
      <w:jc w:val="left"/>
    </w:pPr>
    <w:rPr>
      <w:rFonts w:ascii="仿宋_GB2312" w:hAnsi="仿宋_GB2312"/>
      <w:sz w:val="18"/>
    </w:rPr>
  </w:style>
  <w:style w:type="paragraph" w:styleId="P3">
    <w:name w:val="批注文字"/>
    <w:basedOn w:val="P1"/>
    <w:next w:val="P3"/>
    <w:pPr>
      <w:jc w:val="left"/>
    </w:pPr>
    <w:rPr/>
  </w:style>
  <w:style w:type="paragraph" w:styleId="P4">
    <w:name w:val="正文文本缩进"/>
    <w:basedOn w:val="P1"/>
    <w:next w:val="P4"/>
    <w:pPr>
      <w:spacing w:lineRule="exact" w:line="520"/>
      <w:ind w:firstLine="640"/>
    </w:pPr>
    <w:rPr>
      <w:rFonts w:ascii="仿宋_GB2312" w:hAnsi="仿宋_GB2312"/>
      <w:sz w:val="32"/>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批注框文本"/>
    <w:basedOn w:val="P1"/>
    <w:next w:val="P6"/>
    <w:link w:val="C4"/>
    <w:pPr/>
    <w:rPr>
      <w:sz w:val="18"/>
    </w:rPr>
  </w:style>
  <w:style w:type="paragraph" w:styleId="P7">
    <w:name w:val="正文文本"/>
    <w:basedOn w:val="P1"/>
    <w:next w:val="P7"/>
    <w:pPr>
      <w:suppressAutoHyphens w:val="1"/>
      <w:spacing w:after="120"/>
      <w:ind w:firstLine="420"/>
    </w:pPr>
    <w:rPr/>
  </w:style>
  <w:style w:type="paragraph" w:styleId="P8">
    <w:name w:val="批注框文本1"/>
    <w:basedOn w:val="P1"/>
    <w:next w:val="P8"/>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框文本 字符"/>
    <w:link w:val="P6"/>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Times New Roman" w:hAnsi="Times New Roman"/>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 </dc:creator>
  <dcterms:created xsi:type="dcterms:W3CDTF">2007-08-13T06:25:00Z</dcterms:created>
  <cp:lastModifiedBy>f1TZOF\f1TZOF-</cp:lastModifiedBy>
  <cp:lastPrinted>2007-06-28T09:24:00Z</cp:lastPrinted>
  <dcterms:modified xsi:type="dcterms:W3CDTF">2024-08-28T01:36:48Z</dcterms:modified>
  <cp:revision>2</cp:revision>
  <dc:title>深圳市建筑市场严重违法行为</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