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5DD5A4" Type="http://schemas.openxmlformats.org/officeDocument/2006/relationships/officeDocument" Target="/word/document.xml" /><Relationship Id="coreR2E5DD5A4" Type="http://schemas.openxmlformats.org/package/2006/relationships/metadata/core-properties" Target="/docProps/core.xml" /><Relationship Id="customR2E5DD5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contextualSpacing w:val="1"/>
        <w:jc w:val="center"/>
        <w:rPr>
          <w:rStyle w:val="C3"/>
          <w:rFonts w:ascii="方正小标宋简体" w:hAnsi="方正小标宋简体"/>
        </w:rPr>
      </w:pPr>
    </w:p>
    <w:p>
      <w:pPr>
        <w:pStyle w:val="P13"/>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天津市供电用电条例</w:t>
      </w:r>
    </w:p>
    <w:p>
      <w:pPr>
        <w:pStyle w:val="P1"/>
        <w:spacing w:lineRule="exact" w:line="560"/>
        <w:contextualSpacing w:val="1"/>
        <w:rPr>
          <w:rStyle w:val="C3"/>
          <w:rFonts w:ascii="方正小标宋简体" w:hAnsi="方正小标宋简体"/>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日天津市第十四届人民代表大会常务委员会第三十八次会议通过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供电设施</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电力供应</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电力使用</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供用电合同</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电力需求侧管理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3"/>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t xml:space="preserve"> </w:t>
      </w:r>
    </w:p>
    <w:p>
      <w:pPr>
        <w:pStyle w:val="P13"/>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3"/>
        <w:spacing w:lineRule="exact" w:line="560"/>
        <w:contextualSpacing w:val="1"/>
        <w:rPr>
          <w:rStyle w:val="C3"/>
          <w:rFonts w:ascii="仿宋_GB2312" w:hAnsi="仿宋_GB231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维护供电用电秩序，规范供电用电行为，保障电力运行安全，维护供电企业与电力用户的合法权益，促进本市经济和社会协调发展，根据《中华人民共和国电力法》和国务院《电力供应与使用条例》等有关法律、法规的规定，结合本市实际情况，制定本条例。</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本市行政区域内的供电用电活动和相关管理活动，应当遵守本条例。</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市电力行政主管部门负责本市行政区域内电力供应和使用的监督管理工作。</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区、县人民政府确定的电力管理部门，负责本辖区内电力供应和使用的监督管理工作，受市电力行政主管部门的指导和监督。</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公安、建设、规划、安全生产、质量技术监督、价格、国土房管等行政管理部门按照各自职责，做好相关管理工作。</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电力供应和使用应当遵循安全、节约、有序的原则，合理配置资源。</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电网运行实行统一调度。供电设施建设、电力供应和使用，应当服从电网安全运行要求。任何单位和个人不得干扰、妨碍电网调度。</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供电企业应当履行社会普遍服务义务，接受社会监督，提高供电服务水平。</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供电企业与电力用户签订供用电合同，应当遵循平等协商、诚实信用的原则。</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供电设施</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城乡电网的建设和改造规划应当纳入本市城乡总体规划。</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市和区、县人民政府应当按照规划，安排城乡供电线路走廊、电缆通道、区域变电所、区域配电所等基础设施建设用地。</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市规划部门对分区规划和控制性详细规划进行调整，涉及城乡电网建设规划的，应当事先征求市电力行政主管部门的意见。</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建设、交通、规划、国土房管、园林、水利、林业等行政管理部门在审批建设项目时，涉及供电设施安全运行的，应当事先征求电力管理部门的意见。</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供电企业应当按照城乡电网的建设和改造规划，进行供电设施建设和运行管理。</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对用户投资建设的供电设施，在符合城乡电网的建设和改造规划以及保证原用户用电容量、用电质量的前提下，可以通过该设施向其他用户供电，供电设施移交供电企业维护管理。供电企业应当按照容量比例对原投资的用户先行给予补偿，补偿费用由新用户承担。</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供电设施与受电设施的分界以及责任分界点，由供电企业与用户在供用电合同中约定；双方没有约定或者约定不明确的，按照下列原则确定：</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10</w:t>
      </w:r>
      <w:r>
        <w:rPr>
          <w:rStyle w:val="C3"/>
          <w:rFonts w:ascii="Microsoft YaHei UI" w:hAnsi="Microsoft YaHei UI"/>
          <w:sz w:val="32"/>
        </w:rPr>
        <w:t>千伏及以上架空线路供电的，以公用电力设施与用户专用支线连接处的引线搭接点为分界点，分界点及以上电源侧属于供电设施。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（二）电缆供电的，以公用电力设施与用户专用支线相连接的电缆头接线端子为分界点，分界点及以上电源侧属于供电设施。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380</w:t>
      </w:r>
      <w:r>
        <w:rPr>
          <w:rStyle w:val="C3"/>
          <w:rFonts w:ascii="Microsoft YaHei UI" w:hAnsi="Microsoft YaHei UI"/>
          <w:sz w:val="32"/>
        </w:rPr>
        <w:t>伏、</w:t>
      </w:r>
      <w:r>
        <w:rPr>
          <w:rStyle w:val="C3"/>
          <w:rFonts w:ascii="仿宋_GB2312" w:hAnsi="仿宋_GB2312"/>
          <w:sz w:val="32"/>
        </w:rPr>
        <w:t>220</w:t>
      </w:r>
      <w:r>
        <w:rPr>
          <w:rStyle w:val="C3"/>
          <w:rFonts w:ascii="Microsoft YaHei UI" w:hAnsi="Microsoft YaHei UI"/>
          <w:sz w:val="32"/>
        </w:rPr>
        <w:t>伏供电的，以供电接户线与用户进户线的搭接点为分界点，分界点及以上电源侧属于供电设施；其中居民用户一户一表用电的，以用电计量电能表出线接线端子为分界点，分界点及以上电源侧属于供电设施。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（四）采用环网形式供电的，非电缆线作搭火引线的，以穿墙套管电源侧的接线端子为分界点；电缆线作搭火引线的，以该电缆电源侧的电缆头接线端子为分界点，分界点及以上电源侧属于供电设施。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任何单位和个人不得从事危害电力设施的活动，不得在电力设施保护区内从事法律、法规禁止的活动。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供电企业应当加强对供电设施的保护，发现危害供电设施安全的行为，应当及时予以制止；并向电力管理部门、公安部门报告。</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电力设施保护区内的障碍物危害供电设施安全的，其障碍物的所有人或者管理人应当排除危害；在严重危及电网运行安全的紧急情况下，供电企业可以先行排除危害，及时向电力管理部门报告，由电力管理部门依法予以处理。</w:t>
      </w:r>
    </w:p>
    <w:p>
      <w:pPr>
        <w:pStyle w:val="P1"/>
        <w:spacing w:lineRule="exact" w:line="560"/>
        <w:ind w:firstLine="620"/>
        <w:contextualSpacing w:val="1"/>
        <w:rPr>
          <w:rStyle w:val="C3"/>
          <w:rFonts w:ascii="仿宋_GB2312" w:hAnsi="仿宋_GB2312"/>
        </w:rPr>
      </w:pPr>
      <w:r>
        <w:rPr>
          <w:rStyle w:val="C3"/>
          <w:rFonts w:ascii="黑体" w:hAnsi="黑体"/>
        </w:rPr>
        <w:t>第十二条</w:t>
      </w:r>
      <w:r>
        <w:rPr>
          <w:rStyle w:val="C3"/>
          <w:rFonts w:ascii="Microsoft YaHei UI" w:hAnsi="Microsoft YaHei UI"/>
        </w:rPr>
        <w:t>　单位和个人在供电设施上安装其他设施应当经供电企业同意。</w:t>
      </w:r>
    </w:p>
    <w:p>
      <w:pPr>
        <w:pStyle w:val="P13"/>
        <w:spacing w:lineRule="exact" w:line="560"/>
        <w:contextualSpacing w:val="1"/>
        <w:rPr>
          <w:rStyle w:val="C3"/>
          <w:rFonts w:ascii="仿宋_GB2312" w:hAnsi="仿宋_GB231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电力供应</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供电企业应当按照国家规定的电能质量向用户供电，并按照国家规定的计量标准和电价结算。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供电企业应当在其营业场所公示用电办理程序、服务规范、收费的项目和标准，增加售电服务网点，为用户提供便捷服务。</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供电企业对基建工地、农田水利、市政建设等临时性用电，提供临时电源。临时用电人应当与供电企业签订临时供用电协议。</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基建工地临时用电期限一般不超过一年，农田水利、市政建设等其他临时用电期限一般不超过六个月。因特殊情况确需延期用电的，临时用电人应当在协议履行期限届满十日前向供电企业办理延期手续。未办理延期手续的，供电企业在临时供用电协议期满后终止供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供电企业应当为用户办理用电计量装置的安装、移动、更换、拆除、加封、启封和表计接线等业务，并按照规定的周期和计量检定规程对用电计量装置进行校验和不定期检查。</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法定计量检定机构，应当按照国家和本市有关规定对用于结算的用电计量装置进行检定。</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供电企业应当保证连续稳定地向用户供电，不得随意中止供电。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供电企业制定供电设施检修计划前应当与重要用户沟通，并尽可能与重要用户的设备检修同步进行。</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因供电设施计划检修需要中止供电的，供电企业应当提前七日通知用户或者进行公告；因供电设施临时检修需要中止供电的，供电企业应当提前二十四小时通知重要用户和进行公告；因发电系统或者供电系统发生故障需要限电、停电的，供电企业应当按照市人民政府确定的事故序位进行限电或者停电；因不可抗力或者紧急避险需要立即停电的，供电企业可以中止供电，但事后应当报市电力行政主管部门备案，并向停电用户说明情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引起供电中止的原因消除后，供电企业应当及时恢复供电。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供电企业应当按照供用电合同约定的日期抄录用电计量装置记录的用电数据。因用户原因不能按期抄录用电计量装置记录用电数据的，供电企业可以暂时按照用户上一次结算的用电量收取电费，待下一次抄表结算时一并结清电费差额。</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供电企业对大电力用户每月抄表不得超过三次，在抄表后五日内结清电费。</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供电企业向用户供电，不得有下列行为：</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（一）违法分摊应当由供电企业承担的相关费用；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（二）擅自改变收费项目、提高收费标准；</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（三）为用户指定电力工程的设计、施工单位和用电设备、材料的供应单位；</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（四）违法增设供电条件或者违反行业规范变相增加用户负担；</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（五）其他损害用户利益的行为。</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供电企业应当按照国家有关规定对用户的用电情况进行检查，用户应当配合检查，并提供方便。进行用电检查时，检查人员不得少于二人，并应当向用户出示用电检查证件。用电检查结束后，检查人员应当将用电检查结果书面告知用户。</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检查人员违规操作给用户造成损失的，供电企业应当承担赔偿责任。</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电力使用</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供电区域内的单位和个人依法享有用电的权利。</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单位和个人新装用电、临时用电、变更用电或者终止用电，应当按照国家和本市有关规定向供电企业办理相关手续。</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重要用户和对供电可靠性有特殊要求的用户，应当根据有关规定与供电企业协商确定配备多路电源、自备电源和非电性质的应急保安措施。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用户应当配备多路电源而不配备，也未配备自备电源或者未采取非电性质应急保安措施的，因停电造成的损失，由用户承担。</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用户获知停电或者停电序位信息后，应当采取有效措施，避免或者减少因停电造成损失。</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用户建设受电设施，其工程的设计、建筑、安装、试验和运行，应当符合国家和电力行业标准。</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用户应当加强受电设施管理，对受电设施的安全负责，及时对受电设施进行检查、检修和试验，消除对电网安全和电能质量的不良影响。</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用户与供电企业应当以法定计量检定机构检定的用电计量装置记录的用电量作为结算依据。</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用户不得人为影响抄表，不得影响计量准确。</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用户对用电计量装置准确性有异议的，可以申请有资质的计量检定机构重新检定，供电企业应当配合并提供临时用电计量装置。在检定期间，用户应当按期交纳电费。经检定异议成立的，检定费用由供电企业承担，多收的电费应当退还用户；异议不成立的，检定费用由用户承担。</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供电企业或者用户对检定结果有争议的，可以按照国家有关计量纠纷处理的规定，申请有关部门依法处理。</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用户应当按照国家批准的电价和用电计量装置记录的用电量交付电费。交付电费可以采取抄表付费、预付电费和预购电等方式，交付电费的期限和办法按照合同的约定执行。</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大电力用户用电有多种性质、类别的，应当分别进行用电计量，供电企业应当按照不同性质和类别，分别安装用电计量装置。分别计量确有困难的，供电用电双方应当协商确定不同性质、类别电价的用电量，分别计量收费。</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用户对用电量、电价和电费，可以向供电企业查询。用户对查询结果有异议的，供电企业应当自受理申请之日起五日内答复。供电企业逾期不答复的，用户可以向电力管理部门投诉。</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使用临时电源的用户不得将临时电源转让给其他用户，不得转供电，不得改变用电性质，供电企业不得为其办理变更用电手续。</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供用电合同</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供电企业和用户在正式供电前，应当订立供用电合同，享有合同约定的权利，履行合同约定的义务。</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本条例施行前，非居民用户与供电企业已经建立供电用电关系但尚未签订书面供用电合同的，应当自本条例施行之日起六个月内补签供用电合同。逾期不补签的，供电企业可以终止供电用电关系。</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依法与供电企业签订供用电合同的用户需要将合同中约定的其权利和义务转让的，应当到供电企业办理供用电合同变更手续。不办理变更手续的，由原用户继续承担其权利、义务；原用户不存在的，实际用电人应当承担合同的相应权利、义务。</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用户依法破产、被注销营业执照或者关闭的，供电企业应当予以销户，终止供用电合同。</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电力需求侧管理</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电力需求侧管理是指通过采取有效的激励措施，引导用户改变用电方式，提高终端用电效率，优化资源配置，改善和保护环境，实现最小成本电力服务所进行的用电管理活动。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市和区、县人民政府应当将电力需求侧管理，纳入电力规划和资源综合利用规划。</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市和区、县电力管理部门应当推动电力需求侧管理工作，建立健全电力需求侧管理运行机制并组织实施，采取经济、技术和必要的行政措施，调动供电企业和电力用户共同参与电力需求侧管理，共享收益。</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供电企业应当按照电力规划，在供电运行管理中实施电力需求侧管理的相关工作。</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大电力用户应当按照电力需求侧管理的要求，制定用电节电规划，开展能源效率评价工作，落实负荷控制管理措施。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市和区、县电力管理部门应当积极制定经济激励政策，采取各种技术措施，引导和鼓励供电企业推行分时电价，推动大电力用户转移高峰负荷，合理用电。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市和区、县电力管理部门负责组织供电企业制定本地区电力供需平衡方案、应急预案和事故限电、停电序位，经市电力行政主管部门综合平衡，报市人民政府批准后实施。</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市和区、县电力管理部门应当会同有关部门组织制定政策措施，扶持节能技术和节能产品的推广应用。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供电企业和用户应当制定节约用电计划，推广和采用节约用电的新技术、新工艺、新产品、新材料、新设备，淘汰高耗电设备，优化供电用电方式。</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本市设立的电力需求侧管理专项资金，专款专用；并根据每年财政增长适度增加。专项资金主要用于下列活动：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（一）奖励或者补贴推行电力需求侧管理的供电企业和用户；</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（二）补贴节电新技术、新工艺、新产品、新材料、新设备的推广和应用；</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（三）补贴节电技术改造，淘汰高耗电设备；</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（四）补贴负荷控制管理系统的建设和改造；</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（五）补贴电力需求侧管理的宣传、培训和示范项目；</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（六）其他需要奖励和补助的项目。</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专项资金的具体管理办法，由市人民政府另行制定。</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监督管理</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电力管理部门应当依法对供电用电活动进行监督检查，受理单位和个人投诉，依法查处供电用电违法行为。</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电力管理部门及其工作人员进行监督检查，应当出示执法证件。被检查单位和个人应当接受检查，如实提供情况。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禁止下列供电行为：</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（一）未取得供电营业许可或者超出营业许可范围供电；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（二）违反国家规定，拒绝受理本营业区域内单位和个人用电申请；</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（三）不执行国家规定的电价标准；</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（四）不按照规定的序位限电、停电；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（五）违反规定擅自中止供电。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禁止下列用电行为：</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（一）在供电设施上，擅自接线用电；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（二）绕越法定用电计量装置直接用电；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（三）伪造或者开启法定计量检定机构加封的用电计量装置封印用电；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（四）改变法定用电计量装置的计量准确性，使其少计量或者不计量；</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（五）使用非法充值的电费充值卡用电；</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（六）擅自增加用电容量、增大计量变比等用电；</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（七）采用其他方式非法用电。</w:t>
      </w:r>
    </w:p>
    <w:p>
      <w:pPr>
        <w:pStyle w:val="P1"/>
        <w:spacing w:lineRule="exact" w:line="560"/>
        <w:ind w:firstLine="632"/>
        <w:contextualSpacing w:val="1"/>
        <w:rPr>
          <w:rStyle w:val="C3"/>
          <w:rFonts w:ascii="仿宋_GB2312" w:hAnsi="仿宋_GB2312"/>
        </w:rPr>
      </w:pPr>
      <w:r>
        <w:rPr>
          <w:rStyle w:val="C3"/>
          <w:rFonts w:ascii="Microsoft YaHei UI" w:hAnsi="Microsoft YaHei UI"/>
        </w:rPr>
        <w:t>供电企业发现上述违法用电行为，可以予以制止，并报电力管理部门依法查处；其中以非法占有应交电费为目的构成窃电的，移送司法机关依法查处。</w:t>
      </w:r>
    </w:p>
    <w:p>
      <w:pPr>
        <w:pStyle w:val="P13"/>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非法用电的电量按照下列方法计算：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（一）在供电设施上擅自接线用电的，按照所接设备额定容量乘以实际使用时间；</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（二）以其他方式非法用电的，按照计量电能表的最大额定电流值所指的容量或者变压器额定容量乘以实际使用时间。</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非法用电时间不能确定的，非法用电的电量按照下列方法确定：</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（一）能查明产量的，按照同类产品平均耗电量乘以产品产量，加上其他辅助用电量抄见电量对比的差额计算；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（二）在总表上非法接线用电的，按照总表抄见电量与分表电量及正常损耗之和的差额计算；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（三）装有高压组合计量装置并正常计量的，按照抄见电量与高压组合计量装置考核表记录电量的差额计算；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（四）装有负荷监控装置并正常计量的，按照抄见电量与负荷监控装置的记录电量的差额计算。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不能按照前款规定确定非法用电电量的，按照非法用电设备容量乘以</w:t>
      </w:r>
      <w:r>
        <w:rPr>
          <w:rStyle w:val="C3"/>
          <w:rFonts w:ascii="仿宋_GB2312" w:hAnsi="仿宋_GB2312"/>
          <w:sz w:val="32"/>
        </w:rPr>
        <w:t>180</w:t>
      </w:r>
      <w:r>
        <w:rPr>
          <w:rStyle w:val="C3"/>
          <w:rFonts w:ascii="Microsoft YaHei UI" w:hAnsi="Microsoft YaHei UI"/>
          <w:sz w:val="32"/>
        </w:rPr>
        <w:t>日，每日按照十二小时计算。</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物业管理服务企业和其他物业管理人除维修和维护电力设施需要停电外，不得以任何理由拉闸断电。</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第八章　法律责任</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供电企业违反本条例第十八条第（一）项、第（三）项、第（四）项、第（五）项规定的，由市电力管理部门给予警告，责令改正；拒不改正的，处一万元以上五万元以下罚款；违反第（二）项规定的，由价格行政主管部门依法予以处罚。</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单位和个人违反本条例第四十条第（一）项规定供电的，由市电力行政主管部门责令改正，没收违法所得，并可处违法所得一倍以上五倍以下罚款；违反第（二）项、第（四）项、第（五）项规定的，由市电力行政主管部门责令改正，并可处一万元以上五万元以下罚款；违反第（三）项规定的，由价格行政主管部门依法予以处罚。</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单位和个人违反本条例第四十一条规定用电的，由电力管理部门责令停止违法行为，并处应交电费一倍以上五倍以下罚款；构成犯罪的，依法追究刑事责任。</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物业管理服务企业和其他物业管理人违反本条例第四十四条规定，擅自拉闸断电的，由电力管理部门责令改正，并可处一千元以上五千元以下罚款；给用户造成损失的，应当依法承担赔偿责任。</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当事人对行政处罚决定不服的，可以依法申请行政复议或者向人民法院起诉。逾期不申请复议、不起诉又不履行的，由作出行政处罚决定的机关申请人民法院强制执行。</w:t>
      </w: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电力管理部门及其工作人员在供电用电管理工作中滥用职权、玩忽职守、徇私舞弊的，由上级主管部门或者所在单位给予行政处分；构成犯罪的，依法追究刑事责任。</w:t>
      </w:r>
    </w:p>
    <w:p>
      <w:pPr>
        <w:pStyle w:val="P11"/>
        <w:spacing w:lineRule="exact" w:line="560" w:before="0" w:after="0" w:beforeAutospacing="0" w:afterAutospacing="0"/>
        <w:contextualSpacing w:val="1"/>
        <w:jc w:val="both"/>
        <w:rPr>
          <w:rStyle w:val="C3"/>
          <w:rFonts w:ascii="仿宋_GB2312" w:hAnsi="仿宋_GB2312"/>
          <w:sz w:val="32"/>
        </w:rPr>
      </w:pPr>
    </w:p>
    <w:p>
      <w:pPr>
        <w:pStyle w:val="P1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第九章　附则</w:t>
      </w:r>
    </w:p>
    <w:p>
      <w:pPr>
        <w:pStyle w:val="P11"/>
        <w:spacing w:lineRule="exact" w:line="560" w:before="0" w:after="0" w:beforeAutospacing="0" w:afterAutospacing="0"/>
        <w:contextualSpacing w:val="1"/>
        <w:jc w:val="center"/>
        <w:rPr>
          <w:rStyle w:val="C3"/>
          <w:rFonts w:ascii="黑体" w:hAnsi="黑体"/>
          <w:sz w:val="32"/>
        </w:rPr>
      </w:pPr>
    </w:p>
    <w:p>
      <w:pPr>
        <w:pStyle w:val="P1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本条例所称重要用户，是指一旦发生停电事故可能造成重大社会影响或者人身财产损失的电力用户。重要用户的范围由市电力行政主管部门确定。</w:t>
      </w:r>
    </w:p>
    <w:p>
      <w:pPr>
        <w:pStyle w:val="P27"/>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本条例所称大电力用户，是指用电容量为</w:t>
      </w:r>
      <w:r>
        <w:rPr>
          <w:rStyle w:val="C3"/>
          <w:rFonts w:ascii="仿宋_GB2312" w:hAnsi="仿宋_GB2312"/>
          <w:sz w:val="32"/>
        </w:rPr>
        <w:t>100</w:t>
      </w:r>
      <w:r>
        <w:rPr>
          <w:rStyle w:val="C3"/>
          <w:rFonts w:ascii="Microsoft YaHei UI" w:hAnsi="Microsoft YaHei UI"/>
          <w:sz w:val="32"/>
        </w:rPr>
        <w:t>千瓦以上的电力用户。</w:t>
      </w:r>
    </w:p>
    <w:p>
      <w:pPr>
        <w:pStyle w:val="P1"/>
        <w:spacing w:lineRule="exact" w:line="560"/>
        <w:ind w:firstLine="676"/>
        <w:contextualSpacing w:val="1"/>
        <w:rPr>
          <w:rStyle w:val="C3"/>
          <w:rFonts w:ascii="仿宋_GB2312" w:hAnsi="仿宋_GB2312"/>
        </w:rPr>
      </w:pPr>
      <w:r>
        <w:rPr>
          <w:rStyle w:val="C3"/>
          <w:rFonts w:ascii="黑体" w:hAnsi="黑体"/>
        </w:rPr>
        <w:t>第五十二条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4"/>
    <w:pPr>
      <w:spacing w:after="120"/>
      <w:ind w:left="420"/>
    </w:pPr>
    <w:rPr/>
  </w:style>
  <w:style w:type="paragraph" w:styleId="P3">
    <w:name w:val="正文文本缩进 2"/>
    <w:basedOn w:val="P1"/>
    <w:next w:val="P3"/>
    <w:link w:val="C16"/>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5"/>
    <w:pPr/>
    <w:rPr>
      <w:sz w:val="18"/>
    </w:rPr>
  </w:style>
  <w:style w:type="paragraph" w:styleId="P6">
    <w:name w:val="正文文本缩进 3"/>
    <w:basedOn w:val="P1"/>
    <w:next w:val="P6"/>
    <w:link w:val="C2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0"/>
    <w:pPr/>
    <w:rPr/>
  </w:style>
  <w:style w:type="paragraph" w:styleId="P10">
    <w:name w:val="日期"/>
    <w:basedOn w:val="P1"/>
    <w:next w:val="P1"/>
    <w:pPr>
      <w:ind w:left="100"/>
    </w:pPr>
    <w:rPr>
      <w:rFonts w:ascii="仿宋_GB2312" w:hAnsi="仿宋_GB2312"/>
    </w:rPr>
  </w:style>
  <w:style w:type="paragraph" w:styleId="P11">
    <w:name w:val="msoplaintextcxspmiddle"/>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link w:val="C17"/>
    <w:pPr>
      <w:widowControl w:val="1"/>
      <w:spacing w:before="100" w:after="100" w:beforeAutospacing="1" w:afterAutospacing="1"/>
      <w:jc w:val="left"/>
    </w:pPr>
    <w:rPr>
      <w:rFonts w:ascii="宋体" w:hAnsi="宋体"/>
      <w:sz w:val="24"/>
    </w:rPr>
  </w:style>
  <w:style w:type="paragraph" w:styleId="P13">
    <w:name w:val="纯文本"/>
    <w:basedOn w:val="P1"/>
    <w:next w:val="P13"/>
    <w:link w:val="C9"/>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27"/>
    <w:pPr>
      <w:spacing w:lineRule="auto" w:line="480" w:after="120"/>
    </w:pPr>
    <w:rPr/>
  </w:style>
  <w:style w:type="paragraph" w:styleId="P16">
    <w:name w:val="Char2"/>
    <w:basedOn w:val="P1"/>
    <w:next w:val="P16"/>
    <w:pPr/>
    <w:rPr>
      <w:rFonts w:ascii="Tahoma" w:hAnsi="Tahoma"/>
      <w:sz w:val="24"/>
    </w:rPr>
  </w:style>
  <w:style w:type="paragraph" w:styleId="P17">
    <w:name w:val="Char"/>
    <w:basedOn w:val="P1"/>
    <w:next w:val="P17"/>
    <w:pPr/>
    <w:rPr>
      <w:rFonts w:ascii="Tahoma" w:hAnsi="Tahoma"/>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3"/>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2"/>
    <w:pPr>
      <w:widowControl w:val="1"/>
      <w:spacing w:before="100" w:after="100" w:beforeAutospacing="1" w:afterAutospacing="1"/>
      <w:jc w:val="left"/>
    </w:pPr>
    <w:rPr>
      <w:rFonts w:ascii="Arial Unicode MS" w:hAnsi="Arial Unicode MS"/>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12"/>
    <w:next w:val="P41"/>
    <w:link w:val="C46"/>
    <w:pPr>
      <w:widowControl w:val="0"/>
      <w:jc w:val="center"/>
    </w:pPr>
    <w:rPr>
      <w:rFonts w:ascii="楷体_GB2312" w:hAnsi="楷体_GB2312"/>
      <w:color w:val="000000"/>
      <w:sz w:val="32"/>
    </w:rPr>
  </w:style>
  <w:style w:type="paragraph" w:styleId="P42">
    <w:name w:val="标题1"/>
    <w:basedOn w:val="P12"/>
    <w:next w:val="P42"/>
    <w:link w:val="C48"/>
    <w:qFormat/>
    <w:pPr>
      <w:spacing w:lineRule="exact" w:line="600"/>
      <w:jc w:val="center"/>
    </w:pPr>
    <w:rPr>
      <w:rFonts w:ascii="方正小标宋简体" w:hAnsi="方正小标宋简体"/>
      <w:color w:val="000000"/>
      <w:sz w:val="32"/>
    </w:rPr>
  </w:style>
  <w:style w:type="paragraph" w:styleId="P43">
    <w:name w:val="样式1"/>
    <w:basedOn w:val="P13"/>
    <w:next w:val="P43"/>
    <w:link w:val="C43"/>
    <w:qFormat/>
    <w:pPr>
      <w:ind w:firstLine="632"/>
    </w:pPr>
    <w:rPr>
      <w:rFonts w:ascii="楷体_GB2312" w:hAnsi="楷体_GB2312"/>
    </w:rPr>
  </w:style>
  <w:style w:type="paragraph" w:styleId="P44">
    <w:name w:val="标题3"/>
    <w:basedOn w:val="P13"/>
    <w:next w:val="P44"/>
    <w:link w:val="C44"/>
    <w:qFormat/>
    <w:pPr>
      <w:ind w:firstLine="632"/>
      <w:jc w:val="center"/>
    </w:pPr>
    <w:rPr>
      <w:rFonts w:ascii="黑体" w:hAnsi="黑体"/>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1"/>
    <w:basedOn w:val="C3"/>
    <w:rPr>
      <w:rFonts w:ascii="宋体" w:hAnsi="宋体"/>
      <w:sz w:val="21"/>
    </w:rPr>
  </w:style>
  <w:style w:type="character" w:styleId="C9">
    <w:name w:val="纯文本 Char"/>
    <w:basedOn w:val="C3"/>
    <w:link w:val="P13"/>
    <w:rPr>
      <w:rFonts w:ascii="华文宋体" w:hAnsi="华文宋体"/>
    </w:rPr>
  </w:style>
  <w:style w:type="character" w:styleId="C10">
    <w:name w:val="纯文本 Char Char"/>
    <w:basedOn w:val="C3"/>
    <w:rPr>
      <w:rFonts w:ascii="宋体" w:hAnsi="宋体"/>
      <w:sz w:val="32"/>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23"/>
    <w:rPr>
      <w:rFonts w:ascii="仿宋_GB2312" w:hAnsi="仿宋_GB2312"/>
      <w:b w:val="1"/>
      <w:color w:val="000000"/>
    </w:rPr>
  </w:style>
  <w:style w:type="character" w:styleId="C14">
    <w:name w:val="正文文本缩进 Char"/>
    <w:basedOn w:val="C3"/>
    <w:link w:val="P2"/>
    <w:rPr/>
  </w:style>
  <w:style w:type="character" w:styleId="C15">
    <w:name w:val="批注框文本 Char"/>
    <w:basedOn w:val="C3"/>
    <w:link w:val="P5"/>
    <w:rPr>
      <w:sz w:val="18"/>
    </w:rPr>
  </w:style>
  <w:style w:type="character" w:styleId="C16">
    <w:name w:val="正文文本缩进 2 Char"/>
    <w:basedOn w:val="C3"/>
    <w:link w:val="P3"/>
    <w:rPr/>
  </w:style>
  <w:style w:type="character" w:styleId="C17">
    <w:name w:val="普通(网站) Char"/>
    <w:basedOn w:val="C3"/>
    <w:link w:val="P12"/>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9"/>
    <w:rPr/>
  </w:style>
  <w:style w:type="character" w:styleId="C21">
    <w:name w:val="test1"/>
    <w:basedOn w:val="C3"/>
    <w:rPr>
      <w:sz w:val="25"/>
    </w:rPr>
  </w:style>
  <w:style w:type="character" w:styleId="C22">
    <w:name w:val="正文文本缩进 3 Char"/>
    <w:basedOn w:val="C3"/>
    <w:link w:val="P6"/>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9"/>
    <w:link w:val="P43"/>
    <w:rPr>
      <w:rFonts w:ascii="楷体_GB2312" w:hAnsi="楷体_GB2312"/>
    </w:rPr>
  </w:style>
  <w:style w:type="character" w:styleId="C44">
    <w:name w:val="标题3 Char Char"/>
    <w:basedOn w:val="C9"/>
    <w:link w:val="P44"/>
    <w:rPr>
      <w:rFonts w:ascii="黑体" w:hAnsi="黑体"/>
    </w:rPr>
  </w:style>
  <w:style w:type="character" w:styleId="C45">
    <w:name w:val="样式3 Char Char"/>
    <w:basedOn w:val="C13"/>
    <w:link w:val="P45"/>
    <w:rPr/>
  </w:style>
  <w:style w:type="character" w:styleId="C46">
    <w:name w:val="标题2 Char Char"/>
    <w:basedOn w:val="C17"/>
    <w:link w:val="P41"/>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2"/>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