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791099" Type="http://schemas.openxmlformats.org/officeDocument/2006/relationships/officeDocument" Target="/word/document.xml" /><Relationship Id="coreR9791099" Type="http://schemas.openxmlformats.org/package/2006/relationships/metadata/core-properties" Target="/docProps/core.xml" /><Relationship Id="customR97910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keepNext w:val="0"/>
        <w:keepLines w:val="0"/>
        <w:widowControl w:val="0"/>
        <w:spacing w:lineRule="exact" w:line="460" w:before="0" w:after="0" w:beforeAutospacing="0" w:afterAutospacing="0"/>
        <w:ind w:right="45"/>
        <w:jc w:val="both"/>
        <w:rPr>
          <w:rStyle w:val="C3"/>
          <w:rFonts w:ascii="宋体" w:hAnsi="宋体"/>
          <w:b w:val="0"/>
          <w:color w:val="000000"/>
          <w:sz w:val="32"/>
        </w:rPr>
      </w:pPr>
    </w:p>
    <w:p>
      <w:pPr>
        <w:pStyle w:val="P14"/>
        <w:spacing w:lineRule="exact" w:line="700"/>
        <w:jc w:val="center"/>
        <w:rPr>
          <w:rStyle w:val="C3"/>
          <w:rFonts w:ascii="宋体" w:hAnsi="宋体"/>
          <w:b w:val="0"/>
          <w:sz w:val="44"/>
        </w:rPr>
      </w:pPr>
      <w:r>
        <w:rPr>
          <w:rStyle w:val="C3"/>
          <w:rFonts w:ascii="宋体" w:hAnsi="宋体"/>
          <w:b w:val="0"/>
          <w:sz w:val="44"/>
        </w:rPr>
        <w:t>辽宁省惩戒严重失信行为规定</w:t>
      </w:r>
    </w:p>
    <w:p>
      <w:pPr>
        <w:pStyle w:val="P22"/>
        <w:keepNext w:val="0"/>
        <w:keepLines w:val="0"/>
        <w:widowControl w:val="1"/>
        <w:spacing w:lineRule="exact" w:line="578" w:before="0" w:after="0" w:beforeAutospacing="0" w:afterAutospacing="0"/>
        <w:ind w:left="948" w:right="948"/>
        <w:rPr>
          <w:rStyle w:val="C3"/>
          <w:rFonts w:ascii="宋体" w:hAnsi="宋体"/>
          <w:sz w:val="32"/>
        </w:rPr>
      </w:pPr>
    </w:p>
    <w:p>
      <w:pPr>
        <w:pStyle w:val="P22"/>
        <w:keepNext w:val="0"/>
        <w:keepLines w:val="0"/>
        <w:widowControl w:val="1"/>
        <w:spacing w:lineRule="exact" w:line="578"/>
        <w:ind w:left="632" w:right="632"/>
        <w:rPr>
          <w:rStyle w:val="C3"/>
          <w:rFonts w:ascii="楷体" w:hAnsi="楷体"/>
          <w:sz w:val="32"/>
        </w:rPr>
      </w:pPr>
      <w:r>
        <w:rPr>
          <w:rStyle w:val="C3"/>
          <w:rFonts w:ascii="楷体" w:hAnsi="楷体"/>
          <w:sz w:val="32"/>
        </w:rPr>
        <w:t>（2021年5月27日辽宁省第十三届人民代表大会常务委员会第二十六次会议通过）</w:t>
      </w:r>
    </w:p>
    <w:p>
      <w:pPr>
        <w:pStyle w:val="P14"/>
        <w:keepNext w:val="0"/>
        <w:keepLines w:val="0"/>
        <w:spacing w:lineRule="exact" w:line="578"/>
        <w:ind w:left="632" w:right="632"/>
        <w:rPr>
          <w:rStyle w:val="C3"/>
          <w:rFonts w:ascii="宋体" w:hAnsi="宋体"/>
          <w:color w:val="000000"/>
          <w:sz w:val="32"/>
        </w:rPr>
      </w:pPr>
    </w:p>
    <w:p>
      <w:pPr>
        <w:pStyle w:val="P21"/>
        <w:keepNext w:val="0"/>
        <w:keepLines w:val="0"/>
        <w:shd w:val="clear" w:fill="FFFFFF"/>
        <w:spacing w:lineRule="exact" w:line="578" w:before="0" w:after="0" w:beforeAutospacing="0" w:afterAutospacing="0"/>
        <w:jc w:val="both"/>
        <w:rPr>
          <w:rStyle w:val="C3"/>
          <w:rFonts w:ascii="仿宋" w:hAnsi="仿宋"/>
          <w:color w:val="auto"/>
          <w:sz w:val="32"/>
        </w:rPr>
      </w:pPr>
      <w:r>
        <w:rPr>
          <w:rStyle w:val="C3"/>
          <w:rFonts w:ascii="仿宋" w:hAnsi="仿宋"/>
          <w:color w:val="auto"/>
          <w:sz w:val="32"/>
        </w:rPr>
        <w:t xml:space="preserve">    </w:t>
      </w:r>
      <w:r>
        <w:rPr>
          <w:rStyle w:val="C3"/>
          <w:rFonts w:ascii="黑体" w:hAnsi="黑体"/>
          <w:color w:val="auto"/>
          <w:sz w:val="32"/>
        </w:rPr>
        <w:t>第一条</w:t>
      </w:r>
      <w:r>
        <w:rPr>
          <w:rStyle w:val="C3"/>
          <w:rFonts w:ascii="仿宋" w:hAnsi="仿宋"/>
          <w:color w:val="auto"/>
          <w:sz w:val="32"/>
        </w:rPr>
        <w:t xml:space="preserve"> 为了惩戒严重失信行为，加快法治环境、信用环境建设，营造诚实守信的社会氛围，推动营商环境不断优化，根据法律、法规和国家有关规定，结合本省实际，制定本规定。</w:t>
      </w:r>
    </w:p>
    <w:p>
      <w:pPr>
        <w:pStyle w:val="P8"/>
        <w:keepNext w:val="0"/>
        <w:keepLines w:val="0"/>
        <w:shd w:val="clear" w:fill="FFFFFF"/>
        <w:spacing w:lineRule="exact" w:line="578"/>
        <w:ind w:firstLine="632"/>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本规定所称严重失信行为是指损害国家机关公信力、破坏市场公平交易秩序，造成重大损失或者重大影响的政务失信行为、司法领域失信行为和市场主体失信行为。</w:t>
      </w:r>
    </w:p>
    <w:p>
      <w:pPr>
        <w:pStyle w:val="P8"/>
        <w:keepNext w:val="0"/>
        <w:keepLines w:val="0"/>
        <w:shd w:val="clear" w:fill="FFFFFF"/>
        <w:spacing w:lineRule="exact" w:line="578"/>
        <w:ind w:firstLine="632"/>
        <w:rPr>
          <w:rStyle w:val="C3"/>
          <w:rFonts w:ascii="仿宋" w:hAnsi="仿宋"/>
          <w:color w:val="auto"/>
          <w:sz w:val="32"/>
          <w:shd w:val="clear" w:color="auto" w:fill="FFFFFF"/>
        </w:rPr>
      </w:pPr>
      <w:r>
        <w:rPr>
          <w:rStyle w:val="C3"/>
          <w:rFonts w:ascii="黑体" w:hAnsi="黑体"/>
          <w:color w:val="auto"/>
          <w:sz w:val="32"/>
        </w:rPr>
        <w:t>第三条</w:t>
      </w:r>
      <w:r>
        <w:rPr>
          <w:rStyle w:val="C3"/>
          <w:rFonts w:ascii="仿宋" w:hAnsi="仿宋"/>
          <w:color w:val="auto"/>
          <w:sz w:val="32"/>
        </w:rPr>
        <w:t xml:space="preserve"> </w:t>
      </w:r>
      <w:r>
        <w:rPr>
          <w:rStyle w:val="C3"/>
          <w:rFonts w:ascii="仿宋" w:hAnsi="仿宋"/>
          <w:color w:val="auto"/>
          <w:sz w:val="32"/>
          <w:shd w:val="clear" w:color="auto" w:fill="FFFFFF"/>
        </w:rPr>
        <w:t>政务严重失信行为包括下列情形：</w:t>
      </w:r>
    </w:p>
    <w:p>
      <w:pPr>
        <w:pStyle w:val="P7"/>
        <w:keepNext w:val="0"/>
        <w:keepLines w:val="0"/>
        <w:numPr>
          <w:ilvl w:val="0"/>
          <w:numId w:val="1"/>
        </w:numPr>
        <w:spacing w:lineRule="exact" w:line="578"/>
        <w:ind w:firstLine="632"/>
        <w:rPr>
          <w:rStyle w:val="C3"/>
          <w:rFonts w:ascii="仿宋" w:hAnsi="仿宋"/>
          <w:color w:val="auto"/>
          <w:sz w:val="32"/>
          <w:shd w:val="clear" w:color="auto" w:fill="FFFFFF"/>
        </w:rPr>
      </w:pPr>
      <w:r>
        <w:rPr>
          <w:rStyle w:val="C3"/>
          <w:rFonts w:ascii="仿宋" w:hAnsi="仿宋"/>
          <w:color w:val="auto"/>
          <w:sz w:val="32"/>
          <w:shd w:val="clear" w:color="auto" w:fill="FFFFFF"/>
        </w:rPr>
        <w:t>在招商引资、人才引进、鼓励创新创业等活动中，对符合法律、法规和国家有关政策的优惠条件承诺或者合同约定，不兑现或者不履行；</w:t>
      </w:r>
    </w:p>
    <w:p>
      <w:pPr>
        <w:pStyle w:val="P7"/>
        <w:keepNext w:val="0"/>
        <w:keepLines w:val="0"/>
        <w:numPr>
          <w:ilvl w:val="0"/>
          <w:numId w:val="1"/>
        </w:numPr>
        <w:spacing w:lineRule="exact" w:line="578"/>
        <w:ind w:firstLine="632"/>
        <w:rPr>
          <w:rStyle w:val="C3"/>
          <w:rFonts w:ascii="仿宋" w:hAnsi="仿宋"/>
          <w:color w:val="auto"/>
          <w:sz w:val="32"/>
          <w:shd w:val="clear" w:color="auto" w:fill="FFFFFF"/>
        </w:rPr>
      </w:pPr>
      <w:r>
        <w:rPr>
          <w:rStyle w:val="C3"/>
          <w:rFonts w:ascii="仿宋" w:hAnsi="仿宋"/>
          <w:color w:val="auto"/>
          <w:sz w:val="32"/>
          <w:shd w:val="clear" w:color="auto" w:fill="FFFFFF"/>
        </w:rPr>
        <w:t>在政府投资项目建设活动中，不履行或者以未竣工验收、审核工程量等为由拖延履行合同约定；</w:t>
      </w:r>
    </w:p>
    <w:p>
      <w:pPr>
        <w:pStyle w:val="P7"/>
        <w:keepNext w:val="0"/>
        <w:keepLines w:val="0"/>
        <w:numPr>
          <w:ilvl w:val="0"/>
          <w:numId w:val="1"/>
        </w:numPr>
        <w:spacing w:lineRule="exact" w:line="578"/>
        <w:ind w:firstLine="632"/>
        <w:rPr>
          <w:rStyle w:val="C3"/>
          <w:rFonts w:ascii="仿宋" w:hAnsi="仿宋"/>
          <w:color w:val="auto"/>
          <w:sz w:val="32"/>
          <w:shd w:val="clear" w:color="auto" w:fill="FFFFFF"/>
        </w:rPr>
      </w:pPr>
      <w:r>
        <w:rPr>
          <w:rStyle w:val="C3"/>
          <w:rFonts w:ascii="仿宋" w:hAnsi="仿宋"/>
          <w:color w:val="auto"/>
          <w:sz w:val="32"/>
          <w:shd w:val="clear" w:color="auto" w:fill="FFFFFF"/>
        </w:rPr>
        <w:t>在购买服务活动中，不履行或者拖延履行合同约定；</w:t>
      </w:r>
    </w:p>
    <w:p>
      <w:pPr>
        <w:pStyle w:val="P7"/>
        <w:keepNext w:val="0"/>
        <w:keepLines w:val="0"/>
        <w:widowControl w:val="0"/>
        <w:numPr>
          <w:ilvl w:val="0"/>
          <w:numId w:val="1"/>
        </w:numPr>
        <w:spacing w:lineRule="exact" w:line="578" w:before="0" w:after="0"/>
        <w:ind w:firstLine="200" w:left="0" w:right="0"/>
        <w:jc w:val="both"/>
        <w:rPr>
          <w:rStyle w:val="C3"/>
          <w:rFonts w:ascii="仿宋" w:hAnsi="仿宋"/>
          <w:color w:val="auto"/>
          <w:sz w:val="32"/>
        </w:rPr>
      </w:pPr>
      <w:r>
        <w:rPr>
          <w:rStyle w:val="C3"/>
          <w:rFonts w:ascii="仿宋" w:hAnsi="仿宋"/>
          <w:color w:val="auto"/>
          <w:sz w:val="32"/>
          <w:shd w:val="clear" w:color="auto" w:fill="FFFFFF"/>
        </w:rPr>
        <w:t>在土地供应活动中，违反土地供应合同约定或者承诺；</w:t>
      </w:r>
    </w:p>
    <w:p>
      <w:pPr>
        <w:pStyle w:val="P7"/>
        <w:keepNext w:val="0"/>
        <w:keepLines w:val="0"/>
        <w:numPr>
          <w:ilvl w:val="0"/>
          <w:numId w:val="1"/>
        </w:numPr>
        <w:spacing w:lineRule="exact" w:line="578"/>
        <w:ind w:firstLine="632"/>
        <w:rPr>
          <w:rStyle w:val="C3"/>
          <w:rFonts w:ascii="仿宋" w:hAnsi="仿宋"/>
          <w:color w:val="auto"/>
          <w:sz w:val="32"/>
        </w:rPr>
      </w:pPr>
      <w:r>
        <w:rPr>
          <w:rStyle w:val="C3"/>
          <w:rFonts w:ascii="仿宋" w:hAnsi="仿宋"/>
          <w:color w:val="auto"/>
          <w:sz w:val="32"/>
          <w:shd w:val="clear" w:color="auto" w:fill="FFFFFF"/>
        </w:rPr>
        <w:t>因</w:t>
      </w:r>
      <w:r>
        <w:rPr>
          <w:rStyle w:val="C3"/>
          <w:rFonts w:ascii="仿宋" w:hAnsi="仿宋"/>
          <w:color w:val="auto"/>
          <w:sz w:val="32"/>
        </w:rPr>
        <w:t>国家利益、社会公共利益或者其他法定事由改</w:t>
      </w:r>
      <w:r>
        <w:rPr>
          <w:rStyle w:val="C3"/>
          <w:rFonts w:ascii="仿宋" w:hAnsi="仿宋"/>
          <w:color w:val="auto"/>
          <w:sz w:val="32"/>
          <w:shd w:val="clear" w:color="auto" w:fill="FFFFFF"/>
        </w:rPr>
        <w:t>变政府承诺或者合</w:t>
      </w:r>
      <w:r>
        <w:rPr>
          <w:rStyle w:val="C3"/>
          <w:rFonts w:ascii="仿宋" w:hAnsi="仿宋"/>
          <w:color w:val="auto"/>
          <w:sz w:val="32"/>
        </w:rPr>
        <w:t>同约定，未依法对相关企业和投资人财产损失予以补偿；</w:t>
      </w:r>
    </w:p>
    <w:p>
      <w:pPr>
        <w:pStyle w:val="P8"/>
        <w:keepNext w:val="0"/>
        <w:keepLines w:val="0"/>
        <w:numPr>
          <w:ilvl w:val="0"/>
          <w:numId w:val="1"/>
        </w:numPr>
        <w:spacing w:lineRule="exact" w:line="578"/>
        <w:ind w:firstLine="632"/>
        <w:rPr>
          <w:rStyle w:val="C3"/>
          <w:rFonts w:ascii="仿宋" w:hAnsi="仿宋"/>
          <w:color w:val="auto"/>
          <w:sz w:val="32"/>
        </w:rPr>
      </w:pPr>
      <w:r>
        <w:rPr>
          <w:rStyle w:val="C3"/>
          <w:rFonts w:ascii="仿宋" w:hAnsi="仿宋"/>
          <w:color w:val="auto"/>
          <w:sz w:val="32"/>
        </w:rPr>
        <w:t>在招投标活动中，与招标代理机构、投标人串通损害国家利益、社会公共利益或者他人合法权益；</w:t>
      </w:r>
    </w:p>
    <w:p>
      <w:pPr>
        <w:pStyle w:val="P7"/>
        <w:keepNext w:val="0"/>
        <w:keepLines w:val="0"/>
        <w:numPr>
          <w:ilvl w:val="0"/>
          <w:numId w:val="1"/>
        </w:numPr>
        <w:spacing w:lineRule="exact" w:line="578"/>
        <w:ind w:firstLine="632"/>
        <w:rPr>
          <w:rStyle w:val="C3"/>
          <w:rFonts w:ascii="仿宋" w:hAnsi="仿宋"/>
          <w:color w:val="auto"/>
          <w:sz w:val="32"/>
        </w:rPr>
      </w:pPr>
      <w:r>
        <w:rPr>
          <w:rStyle w:val="C3"/>
          <w:rFonts w:ascii="仿宋" w:hAnsi="仿宋"/>
          <w:color w:val="auto"/>
          <w:sz w:val="32"/>
        </w:rPr>
        <w:t>违法帮助企业获得、滥用市场支配地位；</w:t>
      </w:r>
    </w:p>
    <w:p>
      <w:pPr>
        <w:pStyle w:val="P7"/>
        <w:keepNext w:val="0"/>
        <w:keepLines w:val="0"/>
        <w:numPr>
          <w:ilvl w:val="0"/>
          <w:numId w:val="1"/>
        </w:numPr>
        <w:spacing w:lineRule="exact" w:line="578"/>
        <w:ind w:firstLine="632"/>
        <w:rPr>
          <w:rStyle w:val="C3"/>
          <w:rFonts w:ascii="仿宋" w:hAnsi="仿宋"/>
          <w:color w:val="auto"/>
          <w:sz w:val="32"/>
        </w:rPr>
      </w:pPr>
      <w:r>
        <w:rPr>
          <w:rStyle w:val="C3"/>
          <w:rFonts w:ascii="仿宋" w:hAnsi="仿宋"/>
          <w:color w:val="auto"/>
          <w:sz w:val="32"/>
        </w:rPr>
        <w:t>有能力履行而拒不履行、逃避执行司法机关作出的生效判决或者决定；</w:t>
      </w:r>
    </w:p>
    <w:p>
      <w:pPr>
        <w:pStyle w:val="P7"/>
        <w:keepNext w:val="0"/>
        <w:keepLines w:val="0"/>
        <w:numPr>
          <w:ilvl w:val="0"/>
          <w:numId w:val="1"/>
        </w:numPr>
        <w:spacing w:lineRule="exact" w:line="578"/>
        <w:ind w:firstLine="632"/>
        <w:rPr>
          <w:rStyle w:val="C3"/>
          <w:rFonts w:ascii="仿宋" w:hAnsi="仿宋"/>
          <w:color w:val="auto"/>
          <w:sz w:val="32"/>
          <w:shd w:val="clear" w:color="auto" w:fill="FFFFFF"/>
        </w:rPr>
      </w:pPr>
      <w:r>
        <w:rPr>
          <w:rStyle w:val="C3"/>
          <w:rFonts w:ascii="仿宋" w:hAnsi="仿宋"/>
          <w:color w:val="auto"/>
          <w:sz w:val="32"/>
        </w:rPr>
        <w:t>授意、指使、强令金融机构违规发放贷款或者阻挠收回贷款和利息；不依法履行金融机构出资人或者实际控制人责任；帮助企业逃废金</w:t>
      </w:r>
      <w:r>
        <w:rPr>
          <w:rStyle w:val="C3"/>
          <w:rFonts w:ascii="仿宋" w:hAnsi="仿宋"/>
          <w:color w:val="auto"/>
          <w:sz w:val="32"/>
          <w:shd w:val="clear" w:color="auto" w:fill="FFFFFF"/>
        </w:rPr>
        <w:t>融债务；违规举债或者担保；</w:t>
      </w:r>
    </w:p>
    <w:p>
      <w:pPr>
        <w:pStyle w:val="P7"/>
        <w:keepNext w:val="0"/>
        <w:keepLines w:val="0"/>
        <w:numPr>
          <w:ilvl w:val="0"/>
          <w:numId w:val="1"/>
        </w:numPr>
        <w:spacing w:lineRule="exact" w:line="578"/>
        <w:ind w:firstLine="632"/>
        <w:rPr>
          <w:rStyle w:val="C3"/>
          <w:rFonts w:ascii="仿宋" w:hAnsi="仿宋"/>
          <w:color w:val="auto"/>
          <w:sz w:val="32"/>
          <w:shd w:val="clear" w:color="auto" w:fill="FFFFFF"/>
        </w:rPr>
      </w:pPr>
      <w:r>
        <w:rPr>
          <w:rStyle w:val="C3"/>
          <w:rFonts w:ascii="仿宋" w:hAnsi="仿宋"/>
          <w:color w:val="auto"/>
          <w:sz w:val="32"/>
          <w:shd w:val="clear" w:color="auto" w:fill="FFFFFF"/>
        </w:rPr>
        <w:t>仲裁机构枉法裁决；</w:t>
      </w:r>
    </w:p>
    <w:p>
      <w:pPr>
        <w:pStyle w:val="P7"/>
        <w:keepNext w:val="0"/>
        <w:keepLines w:val="0"/>
        <w:numPr>
          <w:ilvl w:val="0"/>
          <w:numId w:val="1"/>
        </w:numPr>
        <w:spacing w:lineRule="exact" w:line="578"/>
        <w:ind w:firstLine="632"/>
        <w:rPr>
          <w:rStyle w:val="C3"/>
          <w:rFonts w:ascii="仿宋" w:hAnsi="仿宋"/>
          <w:color w:val="auto"/>
          <w:sz w:val="32"/>
        </w:rPr>
      </w:pPr>
      <w:r>
        <w:rPr>
          <w:rStyle w:val="C3"/>
          <w:rFonts w:ascii="仿宋" w:hAnsi="仿宋"/>
          <w:color w:val="auto"/>
          <w:sz w:val="32"/>
          <w:shd w:val="clear" w:color="auto" w:fill="FFFFFF"/>
        </w:rPr>
        <w:t>拖延向省信用信息共享平台上传严重失信行为主体信息；不履行或者不正确履行严重失</w:t>
      </w:r>
      <w:r>
        <w:rPr>
          <w:rStyle w:val="C3"/>
          <w:rFonts w:ascii="仿宋" w:hAnsi="仿宋"/>
          <w:color w:val="auto"/>
          <w:sz w:val="32"/>
        </w:rPr>
        <w:t xml:space="preserve">信行为认定、联合惩戒职责； </w:t>
      </w:r>
    </w:p>
    <w:p>
      <w:pPr>
        <w:pStyle w:val="P7"/>
        <w:keepNext w:val="0"/>
        <w:keepLines w:val="0"/>
        <w:numPr>
          <w:ilvl w:val="0"/>
          <w:numId w:val="1"/>
        </w:numPr>
        <w:spacing w:lineRule="exact" w:line="578"/>
        <w:ind w:firstLine="632"/>
        <w:rPr>
          <w:rStyle w:val="C3"/>
          <w:rFonts w:ascii="仿宋" w:hAnsi="仿宋"/>
          <w:color w:val="auto"/>
          <w:sz w:val="32"/>
        </w:rPr>
      </w:pPr>
      <w:r>
        <w:rPr>
          <w:rStyle w:val="C3"/>
          <w:rFonts w:ascii="仿宋" w:hAnsi="仿宋"/>
          <w:color w:val="auto"/>
          <w:sz w:val="32"/>
        </w:rPr>
        <w:t>法律、法规和国家有关规定明确的其他政务严重失信行为情形。</w:t>
      </w:r>
    </w:p>
    <w:p>
      <w:pPr>
        <w:pStyle w:val="P7"/>
        <w:keepNext w:val="0"/>
        <w:keepLines w:val="0"/>
        <w:spacing w:lineRule="exact" w:line="578"/>
        <w:ind w:left="632"/>
        <w:rPr>
          <w:rStyle w:val="C3"/>
          <w:rFonts w:ascii="仿宋" w:hAnsi="仿宋"/>
          <w:color w:val="auto"/>
          <w:sz w:val="32"/>
        </w:rPr>
      </w:pPr>
      <w:r>
        <w:rPr>
          <w:rStyle w:val="C3"/>
          <w:rFonts w:ascii="仿宋" w:hAnsi="仿宋"/>
          <w:color w:val="auto"/>
          <w:sz w:val="32"/>
        </w:rPr>
        <w:t xml:space="preserve"> </w:t>
      </w:r>
      <w:r>
        <w:rPr>
          <w:rStyle w:val="C3"/>
          <w:rFonts w:ascii="黑体" w:hAnsi="黑体"/>
          <w:color w:val="auto"/>
          <w:sz w:val="32"/>
        </w:rPr>
        <w:t>第四条</w:t>
      </w:r>
      <w:r>
        <w:rPr>
          <w:rStyle w:val="C3"/>
          <w:rFonts w:ascii="仿宋" w:hAnsi="仿宋"/>
          <w:color w:val="auto"/>
          <w:sz w:val="32"/>
        </w:rPr>
        <w:t xml:space="preserve"> 司法领域严重失信行为包括下列情形：</w:t>
      </w:r>
    </w:p>
    <w:p>
      <w:pPr>
        <w:pStyle w:val="P7"/>
        <w:keepNext w:val="0"/>
        <w:keepLines w:val="0"/>
        <w:numPr>
          <w:ilvl w:val="0"/>
          <w:numId w:val="2"/>
        </w:numPr>
        <w:spacing w:lineRule="exact" w:line="578"/>
        <w:ind w:firstLine="632"/>
        <w:rPr>
          <w:rStyle w:val="C3"/>
          <w:rFonts w:ascii="仿宋" w:hAnsi="仿宋"/>
          <w:color w:val="auto"/>
          <w:sz w:val="32"/>
          <w:shd w:val="clear" w:color="auto" w:fill="FFFFFF"/>
        </w:rPr>
      </w:pPr>
      <w:r>
        <w:rPr>
          <w:rStyle w:val="C3"/>
          <w:rFonts w:ascii="仿宋" w:hAnsi="仿宋"/>
          <w:color w:val="auto"/>
          <w:sz w:val="32"/>
        </w:rPr>
        <w:t>公安机关超权限、超时限、超范围使用查封、扣押、冻结等侦查措施，情节严重；</w:t>
      </w:r>
    </w:p>
    <w:p>
      <w:pPr>
        <w:pStyle w:val="P7"/>
        <w:keepNext w:val="0"/>
        <w:keepLines w:val="0"/>
        <w:numPr>
          <w:ilvl w:val="0"/>
          <w:numId w:val="2"/>
        </w:numPr>
        <w:spacing w:lineRule="exact" w:line="578"/>
        <w:ind w:firstLine="632"/>
        <w:rPr>
          <w:rStyle w:val="C3"/>
          <w:rFonts w:ascii="仿宋" w:hAnsi="仿宋"/>
          <w:color w:val="auto"/>
          <w:sz w:val="32"/>
          <w:shd w:val="clear" w:color="auto" w:fill="FFFFFF"/>
        </w:rPr>
      </w:pPr>
      <w:r>
        <w:rPr>
          <w:rStyle w:val="C3"/>
          <w:rFonts w:ascii="仿宋" w:hAnsi="仿宋"/>
          <w:color w:val="auto"/>
          <w:sz w:val="32"/>
        </w:rPr>
        <w:t>公安机关办理涉企案件久拖不结，情节严重；</w:t>
      </w:r>
    </w:p>
    <w:p>
      <w:pPr>
        <w:pStyle w:val="P7"/>
        <w:keepNext w:val="0"/>
        <w:keepLines w:val="0"/>
        <w:numPr>
          <w:ilvl w:val="0"/>
          <w:numId w:val="2"/>
        </w:numPr>
        <w:spacing w:lineRule="exact" w:line="578"/>
        <w:ind w:firstLine="632"/>
        <w:rPr>
          <w:rStyle w:val="C3"/>
          <w:rFonts w:ascii="仿宋" w:hAnsi="仿宋"/>
          <w:color w:val="auto"/>
          <w:sz w:val="32"/>
          <w:shd w:val="clear" w:color="auto" w:fill="FFFFFF"/>
        </w:rPr>
      </w:pPr>
      <w:r>
        <w:rPr>
          <w:rStyle w:val="C3"/>
          <w:rFonts w:ascii="仿宋" w:hAnsi="仿宋"/>
          <w:color w:val="auto"/>
          <w:sz w:val="32"/>
        </w:rPr>
        <w:t>公安机关违法利用刑事手段干预经济纠纷；</w:t>
      </w:r>
    </w:p>
    <w:p>
      <w:pPr>
        <w:pStyle w:val="P7"/>
        <w:keepNext w:val="0"/>
        <w:keepLines w:val="0"/>
        <w:numPr>
          <w:ilvl w:val="0"/>
          <w:numId w:val="2"/>
        </w:numPr>
        <w:spacing w:lineRule="exact" w:line="578"/>
        <w:ind w:firstLine="632"/>
        <w:rPr>
          <w:rStyle w:val="C3"/>
          <w:rFonts w:ascii="仿宋" w:hAnsi="仿宋"/>
          <w:color w:val="auto"/>
          <w:sz w:val="32"/>
          <w:shd w:val="clear" w:color="auto" w:fill="FFFFFF"/>
        </w:rPr>
      </w:pPr>
      <w:r>
        <w:rPr>
          <w:rStyle w:val="C3"/>
          <w:rFonts w:ascii="仿宋" w:hAnsi="仿宋"/>
          <w:color w:val="auto"/>
          <w:sz w:val="32"/>
        </w:rPr>
        <w:t>检察机关对已消除不良社会影响、再犯可能性低的涉企轻微犯罪案件，批准逮捕或者不依法进行羁押必要性审查；</w:t>
      </w:r>
    </w:p>
    <w:p>
      <w:pPr>
        <w:pStyle w:val="P7"/>
        <w:keepNext w:val="0"/>
        <w:keepLines w:val="0"/>
        <w:numPr>
          <w:ilvl w:val="0"/>
          <w:numId w:val="2"/>
        </w:numPr>
        <w:spacing w:lineRule="exact" w:line="578"/>
        <w:ind w:firstLine="632"/>
        <w:rPr>
          <w:rStyle w:val="C3"/>
          <w:rFonts w:ascii="仿宋" w:hAnsi="仿宋"/>
          <w:color w:val="auto"/>
          <w:sz w:val="32"/>
        </w:rPr>
      </w:pPr>
      <w:r>
        <w:rPr>
          <w:rStyle w:val="C3"/>
          <w:rFonts w:ascii="仿宋" w:hAnsi="仿宋"/>
          <w:color w:val="auto"/>
          <w:sz w:val="32"/>
        </w:rPr>
        <w:t>检察机关对明知事实不清、证据不足的涉企刑事犯罪案件审查不严仍实施起诉，导致被判无罪或者撤回起诉；</w:t>
      </w:r>
    </w:p>
    <w:p>
      <w:pPr>
        <w:pStyle w:val="P7"/>
        <w:keepNext w:val="0"/>
        <w:keepLines w:val="0"/>
        <w:numPr>
          <w:ilvl w:val="0"/>
          <w:numId w:val="2"/>
        </w:numPr>
        <w:spacing w:lineRule="exact" w:line="578"/>
        <w:ind w:firstLine="632"/>
        <w:rPr>
          <w:rStyle w:val="C3"/>
          <w:rFonts w:ascii="仿宋" w:hAnsi="仿宋"/>
          <w:color w:val="auto"/>
          <w:sz w:val="32"/>
        </w:rPr>
      </w:pPr>
      <w:r>
        <w:rPr>
          <w:rStyle w:val="C3"/>
          <w:rFonts w:ascii="仿宋" w:hAnsi="仿宋"/>
          <w:color w:val="auto"/>
          <w:sz w:val="32"/>
        </w:rPr>
        <w:t>检察机关对公安机关办理的侵害企业权益、侵犯知识产权等经济犯罪案件以民事纠纷为由从轻处理未予监督纠正；</w:t>
      </w:r>
    </w:p>
    <w:p>
      <w:pPr>
        <w:pStyle w:val="P7"/>
        <w:keepNext w:val="0"/>
        <w:keepLines w:val="0"/>
        <w:numPr>
          <w:ilvl w:val="0"/>
          <w:numId w:val="2"/>
        </w:numPr>
        <w:spacing w:lineRule="exact" w:line="578"/>
        <w:ind w:firstLine="632"/>
        <w:rPr>
          <w:rStyle w:val="C3"/>
          <w:rFonts w:ascii="仿宋" w:hAnsi="仿宋"/>
          <w:color w:val="auto"/>
          <w:sz w:val="32"/>
        </w:rPr>
      </w:pPr>
      <w:r>
        <w:rPr>
          <w:rStyle w:val="C3"/>
          <w:rFonts w:ascii="仿宋" w:hAnsi="仿宋"/>
          <w:color w:val="auto"/>
          <w:sz w:val="32"/>
        </w:rPr>
        <w:t>审判机关违规立案或者不予立案；</w:t>
      </w:r>
    </w:p>
    <w:p>
      <w:pPr>
        <w:pStyle w:val="P7"/>
        <w:keepNext w:val="0"/>
        <w:keepLines w:val="0"/>
        <w:numPr>
          <w:ilvl w:val="0"/>
          <w:numId w:val="2"/>
        </w:numPr>
        <w:spacing w:lineRule="exact" w:line="578"/>
        <w:ind w:firstLine="632"/>
        <w:rPr>
          <w:rStyle w:val="C3"/>
          <w:rFonts w:ascii="仿宋" w:hAnsi="仿宋"/>
          <w:color w:val="auto"/>
          <w:sz w:val="32"/>
        </w:rPr>
      </w:pPr>
      <w:r>
        <w:rPr>
          <w:rStyle w:val="C3"/>
          <w:rFonts w:ascii="仿宋" w:hAnsi="仿宋"/>
          <w:color w:val="auto"/>
          <w:sz w:val="32"/>
        </w:rPr>
        <w:t>审判机关枉法裁判；</w:t>
      </w:r>
    </w:p>
    <w:p>
      <w:pPr>
        <w:pStyle w:val="P7"/>
        <w:keepNext w:val="0"/>
        <w:keepLines w:val="0"/>
        <w:numPr>
          <w:ilvl w:val="0"/>
          <w:numId w:val="2"/>
        </w:numPr>
        <w:spacing w:lineRule="exact" w:line="578"/>
        <w:ind w:firstLine="632"/>
        <w:rPr>
          <w:rStyle w:val="C3"/>
          <w:rFonts w:ascii="仿宋" w:hAnsi="仿宋"/>
          <w:color w:val="auto"/>
          <w:sz w:val="32"/>
        </w:rPr>
      </w:pPr>
      <w:r>
        <w:rPr>
          <w:rStyle w:val="C3"/>
          <w:rFonts w:ascii="仿宋" w:hAnsi="仿宋"/>
          <w:color w:val="auto"/>
          <w:sz w:val="32"/>
        </w:rPr>
        <w:t>审判机关违反执行工作规定，案件能够执行而不予执行或者违规执行；</w:t>
      </w:r>
    </w:p>
    <w:p>
      <w:pPr>
        <w:pStyle w:val="P7"/>
        <w:keepNext w:val="0"/>
        <w:keepLines w:val="0"/>
        <w:numPr>
          <w:ilvl w:val="0"/>
          <w:numId w:val="2"/>
        </w:numPr>
        <w:spacing w:lineRule="exact" w:line="578"/>
        <w:ind w:firstLine="632"/>
        <w:rPr>
          <w:rStyle w:val="C3"/>
          <w:rFonts w:ascii="仿宋" w:hAnsi="仿宋"/>
          <w:color w:val="auto"/>
          <w:sz w:val="32"/>
          <w:shd w:val="clear" w:color="auto" w:fill="FFFFFF"/>
        </w:rPr>
      </w:pPr>
      <w:r>
        <w:rPr>
          <w:rStyle w:val="C3"/>
          <w:rFonts w:ascii="仿宋" w:hAnsi="仿宋"/>
          <w:color w:val="auto"/>
          <w:sz w:val="32"/>
        </w:rPr>
        <w:t>法律、法规和国家有关规定明确的其他司法领域严重失信行为情形。</w:t>
      </w:r>
    </w:p>
    <w:p>
      <w:pPr>
        <w:pStyle w:val="P7"/>
        <w:keepNext w:val="0"/>
        <w:keepLines w:val="0"/>
        <w:spacing w:lineRule="exact" w:line="578"/>
        <w:rPr>
          <w:rStyle w:val="C3"/>
          <w:rFonts w:ascii="仿宋" w:hAnsi="仿宋"/>
          <w:color w:val="auto"/>
          <w:sz w:val="32"/>
        </w:rPr>
      </w:pPr>
      <w:r>
        <w:rPr>
          <w:rStyle w:val="C3"/>
          <w:rFonts w:ascii="仿宋" w:hAnsi="仿宋"/>
          <w:color w:val="auto"/>
          <w:sz w:val="32"/>
        </w:rPr>
        <w:t xml:space="preserve">    </w:t>
      </w:r>
      <w:r>
        <w:rPr>
          <w:rStyle w:val="C3"/>
          <w:rFonts w:ascii="黑体" w:hAnsi="黑体"/>
          <w:color w:val="auto"/>
          <w:sz w:val="32"/>
        </w:rPr>
        <w:t>第五条</w:t>
      </w:r>
      <w:r>
        <w:rPr>
          <w:rStyle w:val="C3"/>
          <w:rFonts w:ascii="仿宋" w:hAnsi="仿宋"/>
          <w:color w:val="auto"/>
          <w:sz w:val="32"/>
        </w:rPr>
        <w:t xml:space="preserve"> 市场主体严重失信行为包括下列情形：</w:t>
      </w:r>
    </w:p>
    <w:p>
      <w:pPr>
        <w:pStyle w:val="P6"/>
        <w:keepNext w:val="0"/>
        <w:keepLines w:val="0"/>
        <w:numPr>
          <w:ilvl w:val="0"/>
          <w:numId w:val="3"/>
        </w:numPr>
        <w:spacing w:lineRule="exact" w:line="578"/>
        <w:ind w:firstLine="632"/>
        <w:rPr>
          <w:rStyle w:val="C3"/>
          <w:rFonts w:ascii="仿宋" w:hAnsi="仿宋"/>
          <w:color w:val="auto"/>
          <w:sz w:val="32"/>
          <w:shd w:val="clear" w:color="auto" w:fill="FFFFFF"/>
        </w:rPr>
      </w:pPr>
      <w:r>
        <w:rPr>
          <w:rStyle w:val="C3"/>
          <w:rFonts w:ascii="仿宋" w:hAnsi="仿宋"/>
          <w:color w:val="auto"/>
          <w:sz w:val="32"/>
        </w:rPr>
        <w:t>以欺骗</w:t>
      </w:r>
      <w:r>
        <w:rPr>
          <w:rStyle w:val="C3"/>
          <w:rFonts w:ascii="仿宋" w:hAnsi="仿宋"/>
          <w:color w:val="auto"/>
          <w:sz w:val="32"/>
          <w:shd w:val="clear" w:color="auto" w:fill="FFFFFF"/>
        </w:rPr>
        <w:t>手段取得金融机构贷款，恶意逃废金融债务；</w:t>
      </w:r>
    </w:p>
    <w:p>
      <w:pPr>
        <w:pStyle w:val="P6"/>
        <w:keepNext w:val="0"/>
        <w:keepLines w:val="0"/>
        <w:numPr>
          <w:ilvl w:val="0"/>
          <w:numId w:val="3"/>
        </w:numPr>
        <w:spacing w:lineRule="exact" w:line="578"/>
        <w:ind w:firstLine="632"/>
        <w:rPr>
          <w:rStyle w:val="C3"/>
          <w:rFonts w:ascii="仿宋" w:hAnsi="仿宋"/>
          <w:color w:val="auto"/>
          <w:sz w:val="32"/>
          <w:shd w:val="clear" w:color="auto" w:fill="FFFFFF"/>
        </w:rPr>
      </w:pPr>
      <w:r>
        <w:rPr>
          <w:rStyle w:val="C3"/>
          <w:rFonts w:ascii="仿宋" w:hAnsi="仿宋"/>
          <w:color w:val="auto"/>
          <w:sz w:val="32"/>
          <w:shd w:val="clear" w:color="auto" w:fill="FFFFFF"/>
        </w:rPr>
        <w:t>股东套取或者挪用金融机构资金；</w:t>
      </w:r>
    </w:p>
    <w:p>
      <w:pPr>
        <w:pStyle w:val="P6"/>
        <w:keepNext w:val="0"/>
        <w:keepLines w:val="0"/>
        <w:numPr>
          <w:ilvl w:val="0"/>
          <w:numId w:val="3"/>
        </w:numPr>
        <w:spacing w:lineRule="exact" w:line="578"/>
        <w:ind w:firstLine="632"/>
        <w:rPr>
          <w:rStyle w:val="C3"/>
          <w:rFonts w:ascii="仿宋" w:hAnsi="仿宋"/>
          <w:color w:val="auto"/>
          <w:sz w:val="32"/>
          <w:shd w:val="clear" w:color="auto" w:fill="FFFFFF"/>
        </w:rPr>
      </w:pPr>
      <w:r>
        <w:rPr>
          <w:rStyle w:val="C3"/>
          <w:rFonts w:ascii="仿宋" w:hAnsi="仿宋"/>
          <w:color w:val="auto"/>
          <w:sz w:val="32"/>
          <w:shd w:val="clear" w:color="auto" w:fill="FFFFFF"/>
        </w:rPr>
        <w:t>取得土地使用权后，未按照合同约定的土地用途、动工期限开发建设；</w:t>
      </w:r>
    </w:p>
    <w:p>
      <w:pPr>
        <w:pStyle w:val="P8"/>
        <w:keepNext w:val="0"/>
        <w:keepLines w:val="0"/>
        <w:numPr>
          <w:ilvl w:val="0"/>
          <w:numId w:val="3"/>
        </w:numPr>
        <w:spacing w:lineRule="exact" w:line="578"/>
        <w:ind w:firstLine="632"/>
        <w:rPr>
          <w:rStyle w:val="C3"/>
          <w:rFonts w:ascii="仿宋" w:hAnsi="仿宋"/>
          <w:color w:val="auto"/>
          <w:sz w:val="32"/>
        </w:rPr>
      </w:pPr>
      <w:r>
        <w:rPr>
          <w:rStyle w:val="C3"/>
          <w:rFonts w:ascii="仿宋" w:hAnsi="仿宋"/>
          <w:color w:val="auto"/>
          <w:sz w:val="32"/>
          <w:shd w:val="clear" w:color="auto" w:fill="FFFFFF"/>
        </w:rPr>
        <w:t>资产评估机构</w:t>
      </w:r>
      <w:r>
        <w:rPr>
          <w:rStyle w:val="C3"/>
          <w:rFonts w:ascii="仿宋" w:hAnsi="仿宋"/>
          <w:color w:val="auto"/>
          <w:sz w:val="32"/>
        </w:rPr>
        <w:t>、会计（审计）师事务所出具虚假的资产评估报告或者审计报告；招标代理机构受招标人指使，限制或者排斥潜在投标人，对潜在投标人实行歧视待遇，限制投标人之间竞争；</w:t>
      </w:r>
    </w:p>
    <w:p>
      <w:pPr>
        <w:pStyle w:val="P8"/>
        <w:keepNext w:val="0"/>
        <w:keepLines w:val="0"/>
        <w:numPr>
          <w:ilvl w:val="0"/>
          <w:numId w:val="3"/>
        </w:numPr>
        <w:spacing w:lineRule="exact" w:line="578"/>
        <w:ind w:firstLine="632"/>
        <w:rPr>
          <w:rStyle w:val="C3"/>
          <w:rFonts w:ascii="仿宋" w:hAnsi="仿宋"/>
          <w:color w:val="auto"/>
          <w:sz w:val="32"/>
        </w:rPr>
      </w:pPr>
      <w:r>
        <w:rPr>
          <w:rStyle w:val="C3"/>
          <w:rFonts w:ascii="仿宋" w:hAnsi="仿宋"/>
          <w:color w:val="auto"/>
          <w:sz w:val="32"/>
        </w:rPr>
        <w:t>有能力履行而</w:t>
      </w:r>
      <w:r>
        <w:rPr>
          <w:rStyle w:val="C3"/>
          <w:rFonts w:ascii="仿宋" w:hAnsi="仿宋"/>
          <w:color w:val="auto"/>
          <w:sz w:val="32"/>
          <w:shd w:val="clear" w:color="auto" w:fill="FFFFFF"/>
        </w:rPr>
        <w:t>拒不履行、逃避执行司法机关或者行政机关作出的生效判决或者决定</w:t>
      </w:r>
      <w:r>
        <w:rPr>
          <w:rStyle w:val="C3"/>
          <w:rFonts w:ascii="仿宋" w:hAnsi="仿宋"/>
          <w:color w:val="auto"/>
          <w:sz w:val="32"/>
        </w:rPr>
        <w:t>；</w:t>
      </w:r>
    </w:p>
    <w:p>
      <w:pPr>
        <w:pStyle w:val="P8"/>
        <w:keepNext w:val="0"/>
        <w:keepLines w:val="0"/>
        <w:numPr>
          <w:ilvl w:val="0"/>
          <w:numId w:val="3"/>
        </w:numPr>
        <w:spacing w:lineRule="exact" w:line="578"/>
        <w:ind w:firstLine="632"/>
        <w:rPr>
          <w:rStyle w:val="C3"/>
          <w:rFonts w:ascii="仿宋" w:hAnsi="仿宋"/>
          <w:color w:val="auto"/>
          <w:sz w:val="32"/>
          <w:shd w:val="clear" w:color="auto" w:fill="FFFFFF"/>
        </w:rPr>
      </w:pPr>
      <w:r>
        <w:rPr>
          <w:rStyle w:val="C3"/>
          <w:rFonts w:ascii="仿宋" w:hAnsi="仿宋"/>
          <w:color w:val="auto"/>
          <w:sz w:val="32"/>
        </w:rPr>
        <w:t>法律、法规和国家有关规定明确的其他市场主体严重失信行为情形</w:t>
      </w:r>
      <w:r>
        <w:rPr>
          <w:rStyle w:val="C3"/>
          <w:rFonts w:ascii="仿宋" w:hAnsi="仿宋"/>
          <w:color w:val="auto"/>
          <w:sz w:val="32"/>
          <w:shd w:val="clear" w:color="auto" w:fill="FFFFFF"/>
        </w:rPr>
        <w:t>。</w:t>
      </w:r>
    </w:p>
    <w:p>
      <w:pPr>
        <w:pStyle w:val="P8"/>
        <w:keepNext w:val="0"/>
        <w:keepLines w:val="0"/>
        <w:spacing w:lineRule="exact" w:line="578"/>
        <w:rPr>
          <w:rStyle w:val="C3"/>
          <w:rFonts w:ascii="仿宋" w:hAnsi="仿宋"/>
          <w:color w:val="auto"/>
          <w:sz w:val="32"/>
        </w:rPr>
      </w:pPr>
      <w:r>
        <w:rPr>
          <w:rStyle w:val="C4"/>
          <w:rFonts w:ascii="黑体" w:hAnsi="黑体"/>
          <w:color w:val="auto"/>
          <w:sz w:val="32"/>
        </w:rPr>
        <w:t xml:space="preserve">    第六条</w:t>
      </w:r>
      <w:r>
        <w:rPr>
          <w:rStyle w:val="C4"/>
          <w:rFonts w:ascii="仿宋" w:hAnsi="仿宋"/>
          <w:color w:val="auto"/>
          <w:sz w:val="32"/>
        </w:rPr>
        <w:t xml:space="preserve"> </w:t>
      </w:r>
      <w:r>
        <w:rPr>
          <w:rStyle w:val="C3"/>
          <w:rFonts w:ascii="仿宋" w:hAnsi="仿宋"/>
          <w:color w:val="auto"/>
          <w:sz w:val="32"/>
        </w:rPr>
        <w:t>省、市、县人民政府应当明确认定机构，负责认定本级人民政府所属部门、单位以及下级人民政府的政务严重失信行</w:t>
      </w:r>
      <w:r>
        <w:rPr>
          <w:rStyle w:val="C3"/>
          <w:rFonts w:ascii="仿宋" w:hAnsi="仿宋"/>
          <w:b w:val="0"/>
          <w:color w:val="auto"/>
          <w:sz w:val="32"/>
        </w:rPr>
        <w:t>为。省检察院、省法院负责认定检察机关、审判机关严</w:t>
      </w:r>
      <w:r>
        <w:rPr>
          <w:rStyle w:val="C3"/>
          <w:rFonts w:ascii="仿宋" w:hAnsi="仿宋"/>
          <w:color w:val="auto"/>
          <w:sz w:val="32"/>
        </w:rPr>
        <w:t>重失信行为。市场主体严重失信行为按照国家有关规定认定。</w:t>
      </w:r>
    </w:p>
    <w:p>
      <w:pPr>
        <w:pStyle w:val="P5"/>
        <w:keepNext w:val="0"/>
        <w:keepLines w:val="0"/>
        <w:spacing w:lineRule="exact" w:line="578"/>
        <w:ind w:firstLine="632"/>
        <w:rPr>
          <w:rStyle w:val="C3"/>
          <w:rFonts w:ascii="仿宋" w:hAnsi="仿宋"/>
          <w:color w:val="auto"/>
        </w:rPr>
      </w:pPr>
      <w:r>
        <w:rPr>
          <w:rStyle w:val="C3"/>
          <w:rFonts w:ascii="黑体" w:hAnsi="黑体"/>
          <w:color w:val="auto"/>
        </w:rPr>
        <w:t>第七条</w:t>
      </w:r>
      <w:r>
        <w:rPr>
          <w:rStyle w:val="C3"/>
          <w:rFonts w:ascii="仿宋" w:hAnsi="仿宋"/>
          <w:color w:val="auto"/>
        </w:rPr>
        <w:t xml:space="preserve">  省、市、县人民政府应当建立完善信用信息共享平台，实现严重失信信息共享。除法律法规另有规定外，严重失信行为认定机构应当在严重失信行为认定后七个工作日内，将严重失信行为主体信息上传至信用信息共享平台。</w:t>
      </w:r>
    </w:p>
    <w:p>
      <w:pPr>
        <w:pStyle w:val="P8"/>
        <w:keepNext w:val="0"/>
        <w:keepLines w:val="0"/>
        <w:spacing w:lineRule="exact" w:line="578"/>
        <w:ind w:firstLine="632"/>
        <w:rPr>
          <w:rStyle w:val="C3"/>
          <w:rFonts w:ascii="仿宋" w:hAnsi="仿宋"/>
          <w:color w:val="auto"/>
          <w:sz w:val="32"/>
          <w:shd w:val="clear" w:color="auto" w:fill="FFFFFF"/>
        </w:rPr>
      </w:pPr>
      <w:r>
        <w:rPr>
          <w:rStyle w:val="C3"/>
          <w:rFonts w:ascii="仿宋" w:hAnsi="仿宋"/>
          <w:color w:val="auto"/>
          <w:sz w:val="32"/>
          <w:shd w:val="clear" w:color="auto" w:fill="FFFFFF"/>
        </w:rPr>
        <w:t>省、市、县人民政府信用体系建设</w:t>
      </w:r>
      <w:r>
        <w:rPr>
          <w:rStyle w:val="C3"/>
          <w:rFonts w:ascii="仿宋" w:hAnsi="仿宋"/>
          <w:color w:val="auto"/>
          <w:sz w:val="32"/>
        </w:rPr>
        <w:t>主管部门</w:t>
      </w:r>
      <w:r>
        <w:rPr>
          <w:rStyle w:val="C3"/>
          <w:rFonts w:ascii="仿宋" w:hAnsi="仿宋"/>
          <w:color w:val="auto"/>
          <w:sz w:val="32"/>
          <w:shd w:val="clear" w:color="auto" w:fill="FFFFFF"/>
        </w:rPr>
        <w:t>应当按照法律、法规和国家有关规定</w:t>
      </w:r>
      <w:r>
        <w:rPr>
          <w:rStyle w:val="C3"/>
          <w:rFonts w:ascii="仿宋" w:hAnsi="仿宋"/>
          <w:color w:val="auto"/>
          <w:sz w:val="32"/>
        </w:rPr>
        <w:t>，将严重失信行为认定机构报送的严重失信行为主体名单纳入联合惩戒对象名单。</w:t>
      </w:r>
    </w:p>
    <w:p>
      <w:pPr>
        <w:pStyle w:val="P20"/>
        <w:keepNext w:val="0"/>
        <w:keepLines w:val="0"/>
        <w:widowControl w:val="1"/>
        <w:spacing w:lineRule="exact" w:line="578"/>
        <w:ind w:firstLine="632"/>
        <w:jc w:val="both"/>
        <w:rPr>
          <w:rStyle w:val="C3"/>
          <w:rFonts w:ascii="仿宋" w:hAnsi="仿宋"/>
          <w:color w:val="auto"/>
          <w:sz w:val="32"/>
          <w:shd w:val="clear" w:color="auto" w:fill="FFFFFF"/>
        </w:rPr>
      </w:pPr>
      <w:r>
        <w:rPr>
          <w:rStyle w:val="C3"/>
          <w:rFonts w:ascii="黑体" w:hAnsi="黑体"/>
          <w:color w:val="auto"/>
          <w:sz w:val="32"/>
          <w:shd w:val="clear" w:color="auto" w:fill="FFFFFF"/>
        </w:rPr>
        <w:t>第八条</w:t>
      </w:r>
      <w:r>
        <w:rPr>
          <w:rStyle w:val="C3"/>
          <w:rFonts w:ascii="仿宋" w:hAnsi="仿宋"/>
          <w:color w:val="auto"/>
          <w:sz w:val="32"/>
          <w:shd w:val="clear" w:color="auto" w:fill="FFFFFF"/>
        </w:rPr>
        <w:t xml:space="preserve"> 对纳入联合惩戒对象名单的政务严重失信行为主体、司法领域严重失信行为主体，除按照法律、行政法规和国家有关规定给予惩处外，还应当实施以下联合惩戒：</w:t>
      </w:r>
    </w:p>
    <w:p>
      <w:pPr>
        <w:pStyle w:val="P20"/>
        <w:keepNext w:val="0"/>
        <w:keepLines w:val="0"/>
        <w:widowControl w:val="1"/>
        <w:spacing w:lineRule="exact" w:line="578"/>
        <w:ind w:firstLine="632"/>
        <w:jc w:val="both"/>
        <w:rPr>
          <w:rStyle w:val="C3"/>
          <w:rFonts w:ascii="仿宋" w:hAnsi="仿宋"/>
          <w:color w:val="auto"/>
          <w:sz w:val="32"/>
        </w:rPr>
      </w:pPr>
      <w:r>
        <w:rPr>
          <w:rStyle w:val="C3"/>
          <w:rFonts w:ascii="仿宋" w:hAnsi="仿宋"/>
          <w:color w:val="auto"/>
          <w:sz w:val="32"/>
        </w:rPr>
        <w:t>（一）对法定代表人、主要负责人和直接责任人，限制晋升或者担任重要职务，停发、扣减或者取消绩效奖金；</w:t>
      </w:r>
    </w:p>
    <w:p>
      <w:pPr>
        <w:pStyle w:val="P20"/>
        <w:keepNext w:val="0"/>
        <w:keepLines w:val="0"/>
        <w:widowControl w:val="1"/>
        <w:spacing w:lineRule="exact" w:line="578"/>
        <w:ind w:firstLine="632"/>
        <w:jc w:val="both"/>
        <w:rPr>
          <w:rStyle w:val="C3"/>
          <w:rFonts w:ascii="仿宋" w:hAnsi="仿宋"/>
          <w:color w:val="auto"/>
          <w:sz w:val="32"/>
        </w:rPr>
      </w:pPr>
      <w:r>
        <w:rPr>
          <w:rStyle w:val="C3"/>
          <w:rFonts w:ascii="仿宋" w:hAnsi="仿宋"/>
          <w:color w:val="auto"/>
          <w:sz w:val="32"/>
        </w:rPr>
        <w:t>（二）对有能力履行而</w:t>
      </w:r>
      <w:r>
        <w:rPr>
          <w:rStyle w:val="C3"/>
          <w:rFonts w:ascii="仿宋" w:hAnsi="仿宋"/>
          <w:color w:val="auto"/>
          <w:sz w:val="32"/>
          <w:shd w:val="clear" w:color="auto" w:fill="FFFFFF"/>
        </w:rPr>
        <w:t>拒不履行、逃避执行</w:t>
      </w:r>
      <w:r>
        <w:rPr>
          <w:rStyle w:val="C3"/>
          <w:rFonts w:ascii="仿宋" w:hAnsi="仿宋"/>
          <w:color w:val="auto"/>
          <w:sz w:val="32"/>
        </w:rPr>
        <w:t>司法机关</w:t>
      </w:r>
      <w:r>
        <w:rPr>
          <w:rStyle w:val="C3"/>
          <w:rFonts w:ascii="仿宋" w:hAnsi="仿宋"/>
          <w:color w:val="auto"/>
          <w:sz w:val="32"/>
          <w:shd w:val="clear" w:color="auto" w:fill="FFFFFF"/>
        </w:rPr>
        <w:t>作出的生效判决或者决定</w:t>
      </w:r>
      <w:r>
        <w:rPr>
          <w:rStyle w:val="C3"/>
          <w:rFonts w:ascii="仿宋" w:hAnsi="仿宋"/>
          <w:color w:val="auto"/>
          <w:sz w:val="32"/>
        </w:rPr>
        <w:t>的法定代表人、主要负责人和直接责任人</w:t>
      </w:r>
      <w:r>
        <w:rPr>
          <w:rStyle w:val="C3"/>
          <w:rFonts w:ascii="仿宋" w:hAnsi="仿宋"/>
          <w:color w:val="auto"/>
          <w:sz w:val="32"/>
          <w:shd w:val="clear" w:color="auto" w:fill="FFFFFF"/>
        </w:rPr>
        <w:t>，限制审批出国（境）申请</w:t>
      </w:r>
      <w:r>
        <w:rPr>
          <w:rStyle w:val="C3"/>
          <w:rFonts w:ascii="仿宋" w:hAnsi="仿宋"/>
          <w:color w:val="auto"/>
          <w:sz w:val="32"/>
        </w:rPr>
        <w:t>；</w:t>
      </w:r>
    </w:p>
    <w:p>
      <w:pPr>
        <w:pStyle w:val="P20"/>
        <w:keepNext w:val="0"/>
        <w:keepLines w:val="0"/>
        <w:widowControl w:val="1"/>
        <w:spacing w:lineRule="exact" w:line="578"/>
        <w:ind w:firstLine="632"/>
        <w:jc w:val="both"/>
        <w:rPr>
          <w:rStyle w:val="C3"/>
          <w:rFonts w:ascii="仿宋" w:hAnsi="仿宋"/>
          <w:color w:val="auto"/>
          <w:sz w:val="32"/>
        </w:rPr>
      </w:pPr>
      <w:r>
        <w:rPr>
          <w:rStyle w:val="C3"/>
          <w:rFonts w:ascii="仿宋" w:hAnsi="仿宋"/>
          <w:color w:val="auto"/>
          <w:sz w:val="32"/>
        </w:rPr>
        <w:t>（三）因政务严重失信行为受到严重警告以上纪律处分、记大过以上政务处分或者刑事处罚的公职人员，限制审批出国（境）</w:t>
      </w:r>
    </w:p>
    <w:p>
      <w:pPr>
        <w:pStyle w:val="P20"/>
        <w:keepNext w:val="0"/>
        <w:keepLines w:val="0"/>
        <w:widowControl w:val="1"/>
        <w:spacing w:lineRule="exact" w:line="578"/>
        <w:jc w:val="both"/>
        <w:rPr>
          <w:rStyle w:val="C3"/>
          <w:rFonts w:ascii="仿宋" w:hAnsi="仿宋"/>
          <w:color w:val="auto"/>
          <w:sz w:val="32"/>
        </w:rPr>
      </w:pPr>
      <w:r>
        <w:rPr>
          <w:rStyle w:val="C3"/>
          <w:rFonts w:ascii="仿宋" w:hAnsi="仿宋"/>
          <w:color w:val="auto"/>
          <w:sz w:val="32"/>
        </w:rPr>
        <w:t>申请。</w:t>
      </w:r>
    </w:p>
    <w:p>
      <w:pPr>
        <w:pStyle w:val="P3"/>
        <w:keepNext w:val="0"/>
        <w:keepLines w:val="0"/>
        <w:spacing w:lineRule="exact" w:line="578"/>
        <w:ind w:firstLine="632"/>
        <w:rPr>
          <w:rStyle w:val="C3"/>
          <w:rFonts w:ascii="仿宋" w:hAnsi="仿宋"/>
          <w:color w:val="auto"/>
          <w:sz w:val="32"/>
          <w:shd w:val="clear" w:color="auto" w:fill="FFFFFF"/>
        </w:rPr>
      </w:pPr>
      <w:r>
        <w:rPr>
          <w:rStyle w:val="C3"/>
          <w:rFonts w:ascii="黑体" w:hAnsi="黑体"/>
          <w:color w:val="auto"/>
          <w:sz w:val="32"/>
          <w:shd w:val="clear" w:color="auto" w:fill="FFFFFF"/>
        </w:rPr>
        <w:t>第九条</w:t>
      </w:r>
      <w:r>
        <w:rPr>
          <w:rStyle w:val="C3"/>
          <w:rFonts w:ascii="仿宋" w:hAnsi="仿宋"/>
          <w:color w:val="auto"/>
          <w:sz w:val="32"/>
          <w:shd w:val="clear" w:color="auto" w:fill="FFFFFF"/>
        </w:rPr>
        <w:t xml:space="preserve"> 对纳入联合惩戒对象名单的严重失信行为市场主体，除按照法律、行政法规和国家有关规定进行联合</w:t>
      </w:r>
      <w:r>
        <w:rPr>
          <w:rStyle w:val="C3"/>
          <w:rFonts w:ascii="仿宋" w:hAnsi="仿宋"/>
          <w:color w:val="auto"/>
          <w:sz w:val="32"/>
        </w:rPr>
        <w:t>惩戒外，</w:t>
      </w:r>
      <w:r>
        <w:rPr>
          <w:rStyle w:val="C3"/>
          <w:rFonts w:ascii="仿宋" w:hAnsi="仿宋"/>
          <w:color w:val="auto"/>
          <w:sz w:val="32"/>
          <w:shd w:val="clear" w:color="auto" w:fill="FFFFFF"/>
        </w:rPr>
        <w:t>还应当实施以下联合惩戒：</w:t>
      </w:r>
    </w:p>
    <w:p>
      <w:pPr>
        <w:pStyle w:val="P8"/>
        <w:keepNext w:val="0"/>
        <w:keepLines w:val="0"/>
        <w:spacing w:lineRule="exact" w:line="578"/>
        <w:ind w:firstLine="632"/>
        <w:rPr>
          <w:rStyle w:val="C3"/>
          <w:rFonts w:ascii="仿宋" w:hAnsi="仿宋"/>
          <w:color w:val="auto"/>
          <w:sz w:val="32"/>
          <w:shd w:val="clear" w:color="auto" w:fill="FFFFFF"/>
        </w:rPr>
      </w:pPr>
      <w:r>
        <w:rPr>
          <w:rStyle w:val="C3"/>
          <w:rFonts w:ascii="仿宋" w:hAnsi="仿宋"/>
          <w:color w:val="auto"/>
          <w:sz w:val="32"/>
        </w:rPr>
        <w:t>（一）对国有及国有控股企业法定代表人、主要负责人和直接责任人，限制晋升，</w:t>
      </w:r>
      <w:r>
        <w:rPr>
          <w:rStyle w:val="C3"/>
          <w:rFonts w:ascii="仿宋" w:hAnsi="仿宋"/>
          <w:color w:val="auto"/>
          <w:sz w:val="32"/>
          <w:shd w:val="clear" w:color="auto" w:fill="FFFFFF"/>
        </w:rPr>
        <w:t>降低职务或者岗位等级，降低薪酬待遇；</w:t>
      </w:r>
    </w:p>
    <w:p>
      <w:pPr>
        <w:pStyle w:val="P8"/>
        <w:keepNext w:val="0"/>
        <w:keepLines w:val="0"/>
        <w:spacing w:lineRule="exact" w:line="578"/>
        <w:ind w:firstLine="632"/>
        <w:rPr>
          <w:rStyle w:val="C3"/>
          <w:rFonts w:ascii="仿宋" w:hAnsi="仿宋"/>
          <w:color w:val="auto"/>
          <w:sz w:val="32"/>
          <w:shd w:val="clear" w:color="auto" w:fill="FFFFFF"/>
        </w:rPr>
      </w:pPr>
      <w:r>
        <w:rPr>
          <w:rStyle w:val="C3"/>
          <w:rFonts w:ascii="仿宋" w:hAnsi="仿宋"/>
          <w:color w:val="auto"/>
          <w:sz w:val="32"/>
          <w:shd w:val="clear" w:color="auto" w:fill="FFFFFF"/>
        </w:rPr>
        <w:t>（二）限制参加政府采购活动、国有及国有控股企业采购活动。</w:t>
      </w:r>
    </w:p>
    <w:p>
      <w:pPr>
        <w:pStyle w:val="P8"/>
        <w:keepNext w:val="0"/>
        <w:keepLines w:val="0"/>
        <w:spacing w:lineRule="exact" w:line="578"/>
        <w:ind w:firstLine="632"/>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政务、司法领域严重失信行为主体对认定结果有异议的，应当向认定机构提出书面异议申请，并提交证据；认定机构收到异议申请后，应当依法依规处理。严重失信行为市场主体对认定结果有异议的，应当按照有关规定处理。</w:t>
      </w:r>
    </w:p>
    <w:p>
      <w:pPr>
        <w:pStyle w:val="P8"/>
        <w:keepNext w:val="0"/>
        <w:keepLines w:val="0"/>
        <w:spacing w:lineRule="exact" w:line="578"/>
        <w:ind w:firstLine="632"/>
        <w:rPr>
          <w:rStyle w:val="C3"/>
          <w:rFonts w:ascii="仿宋" w:hAnsi="仿宋"/>
          <w:color w:val="auto"/>
          <w:sz w:val="32"/>
          <w:shd w:val="clear" w:color="auto" w:fill="FFFFFF"/>
        </w:rPr>
      </w:pPr>
      <w:r>
        <w:rPr>
          <w:rStyle w:val="C3"/>
          <w:rFonts w:ascii="仿宋" w:hAnsi="仿宋"/>
          <w:color w:val="auto"/>
          <w:sz w:val="32"/>
        </w:rPr>
        <w:t>严重失信行为主体按照法律、法规和国家有关规定纠正失信行为、消除不良影响的，可以开</w:t>
      </w:r>
      <w:r>
        <w:rPr>
          <w:rStyle w:val="C3"/>
          <w:rFonts w:ascii="仿宋" w:hAnsi="仿宋"/>
          <w:color w:val="auto"/>
          <w:sz w:val="32"/>
          <w:shd w:val="clear" w:color="auto" w:fill="FFFFFF"/>
        </w:rPr>
        <w:t>展信用修复。修复完成后，应当按照有关规定及时停止披露、终止实施联合惩戒措施。</w:t>
      </w:r>
    </w:p>
    <w:p>
      <w:pPr>
        <w:pStyle w:val="P8"/>
        <w:keepNext w:val="0"/>
        <w:keepLines w:val="0"/>
        <w:spacing w:lineRule="exact" w:line="578"/>
        <w:ind w:firstLine="632"/>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省人民政府、省人民检察院、省人民法院应当制定联合惩戒实施办法，明确严重失信行为认定依据、标准、程序等，并根据过惩相当原则，按照严重失信行为的性质、情节、危害程度等，明确具体的惩戒措施。</w:t>
      </w:r>
    </w:p>
    <w:p>
      <w:pPr>
        <w:pStyle w:val="P5"/>
        <w:keepNext w:val="0"/>
        <w:keepLines w:val="0"/>
        <w:spacing w:lineRule="exact" w:line="578"/>
        <w:ind w:firstLine="632"/>
        <w:rPr>
          <w:rStyle w:val="C3"/>
        </w:rPr>
      </w:pPr>
      <w:r>
        <w:rPr>
          <w:rStyle w:val="C3"/>
          <w:rFonts w:ascii="黑体" w:hAnsi="黑体"/>
          <w:color w:val="auto"/>
        </w:rPr>
        <w:t>第十二条</w:t>
      </w:r>
      <w:r>
        <w:rPr>
          <w:rStyle w:val="C3"/>
          <w:rFonts w:ascii="仿宋" w:hAnsi="仿宋"/>
          <w:color w:val="auto"/>
        </w:rPr>
        <w:t xml:space="preserve">  本规定自2021年8月1日起施行。</w:t>
      </w:r>
    </w:p>
    <w:p>
      <w:pPr>
        <w:pStyle w:val="P1"/>
        <w:keepNext w:val="0"/>
        <w:keepLines w:val="0"/>
        <w:spacing w:lineRule="exact" w:line="578"/>
        <w:ind w:firstLine="632"/>
        <w:rPr>
          <w:rStyle w:val="C3"/>
          <w:rFonts w:ascii="仿宋" w:hAnsi="仿宋"/>
          <w:sz w:val="32"/>
        </w:rPr>
      </w:pPr>
    </w:p>
    <w:sectPr>
      <w:footerReference xmlns:r="http://schemas.openxmlformats.org/officeDocument/2006/relationships" w:type="default" r:id="RelFtr1"/>
      <w:type w:val="nextPage"/>
      <w:pgSz w:w="11906" w:h="16838" w:code="0"/>
      <w:pgMar w:left="1587" w:right="1417" w:top="1984" w:bottom="1757"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9"/>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19"/>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9"/>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9"/>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w:abstractNum w:abstractNumId="0">
    <w:nsid w:val="0000000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Normal New"/>
    <w:next w:val="P2"/>
    <w:pPr>
      <w:widowControl w:val="0"/>
      <w:jc w:val="both"/>
    </w:pPr>
    <w:rPr>
      <w:rFonts w:ascii="Times New Roman" w:hAnsi="Times New Roman"/>
      <w:sz w:val="21"/>
    </w:rPr>
  </w:style>
  <w:style w:type="paragraph" w:styleId="P3">
    <w:name w:val="正文 New New New New New New New New New New New New New New New New New New New New New"/>
    <w:next w:val="P3"/>
    <w:pPr>
      <w:widowControl w:val="0"/>
      <w:jc w:val="both"/>
    </w:pPr>
    <w:rPr>
      <w:rFonts w:ascii="Times New Roman" w:hAnsi="Times New Roman"/>
      <w:sz w:val="21"/>
    </w:rPr>
  </w:style>
  <w:style w:type="paragraph" w:styleId="P4">
    <w:name w:val="正文 New New New New New New New"/>
    <w:next w:val="P4"/>
    <w:pPr>
      <w:widowControl w:val="0"/>
      <w:jc w:val="both"/>
    </w:pPr>
    <w:rPr>
      <w:rFonts w:ascii="Calibri" w:hAnsi="Calibri"/>
      <w:sz w:val="21"/>
    </w:rPr>
  </w:style>
  <w:style w:type="paragraph" w:styleId="P5">
    <w:name w:val="正文 New New New New New New"/>
    <w:next w:val="P5"/>
    <w:pPr>
      <w:widowControl w:val="0"/>
      <w:jc w:val="both"/>
    </w:pPr>
    <w:rPr>
      <w:rFonts w:ascii="Times New Roman" w:hAnsi="Times New Roman"/>
      <w:sz w:val="32"/>
    </w:rPr>
  </w:style>
  <w:style w:type="paragraph" w:styleId="P6">
    <w:name w:val="正文 New New New New New New New New New New New New New New New New New New New New"/>
    <w:next w:val="P6"/>
    <w:pPr>
      <w:widowControl w:val="0"/>
      <w:jc w:val="both"/>
    </w:pPr>
    <w:rPr>
      <w:rFonts w:ascii="Times New Roman" w:hAnsi="Times New Roman"/>
      <w:sz w:val="21"/>
    </w:rPr>
  </w:style>
  <w:style w:type="paragraph" w:styleId="P7">
    <w:name w:val="正文 New New New New New New New New New New New New New New New New New New New"/>
    <w:next w:val="P7"/>
    <w:pPr>
      <w:widowControl w:val="0"/>
      <w:jc w:val="both"/>
    </w:pPr>
    <w:rPr>
      <w:rFonts w:ascii="Times New Roman" w:hAnsi="Times New Roman"/>
      <w:sz w:val="21"/>
    </w:rPr>
  </w:style>
  <w:style w:type="paragraph" w:styleId="P8">
    <w:name w:val="正文 New New New New New"/>
    <w:next w:val="P8"/>
    <w:pPr>
      <w:widowControl w:val="0"/>
      <w:jc w:val="both"/>
    </w:pPr>
    <w:rPr>
      <w:rFonts w:ascii="Times New Roman" w:hAnsi="Times New Roman"/>
      <w:sz w:val="21"/>
    </w:rPr>
  </w:style>
  <w:style w:type="paragraph" w:styleId="P9">
    <w:name w:val="正文 New New New"/>
    <w:next w:val="P9"/>
    <w:pPr>
      <w:widowControl w:val="0"/>
      <w:jc w:val="both"/>
    </w:pPr>
    <w:rPr>
      <w:rFonts w:ascii="Calibri" w:hAnsi="Calibri"/>
      <w:sz w:val="21"/>
    </w:rPr>
  </w:style>
  <w:style w:type="paragraph" w:styleId="P10">
    <w:name w:val="Normal New New New"/>
    <w:next w:val="P10"/>
    <w:pPr>
      <w:widowControl w:val="0"/>
      <w:jc w:val="both"/>
    </w:pPr>
    <w:rPr>
      <w:rFonts w:ascii="Calibri" w:hAnsi="Calibri"/>
      <w:sz w:val="21"/>
    </w:rPr>
  </w:style>
  <w:style w:type="paragraph" w:styleId="P11">
    <w:name w:val="Normal New New"/>
    <w:next w:val="P11"/>
    <w:pPr>
      <w:widowControl w:val="0"/>
      <w:jc w:val="both"/>
    </w:pPr>
    <w:rPr>
      <w:rFonts w:ascii="Times New Roman" w:hAnsi="Times New Roman"/>
      <w:sz w:val="32"/>
    </w:rPr>
  </w:style>
  <w:style w:type="paragraph" w:styleId="P12">
    <w:name w:val="Normal New New New New New"/>
    <w:next w:val="P12"/>
    <w:pPr>
      <w:widowControl w:val="0"/>
      <w:jc w:val="both"/>
    </w:pPr>
    <w:rPr>
      <w:rFonts w:ascii="Times New Roman" w:hAnsi="Times New Roman"/>
      <w:sz w:val="21"/>
    </w:rPr>
  </w:style>
  <w:style w:type="paragraph" w:styleId="P13">
    <w:name w:val="正文 New New New New"/>
    <w:next w:val="P13"/>
    <w:pPr>
      <w:widowControl w:val="0"/>
      <w:jc w:val="both"/>
    </w:pPr>
    <w:rPr>
      <w:rFonts w:ascii="Times New Roman" w:hAnsi="Times New Roman"/>
      <w:sz w:val="21"/>
    </w:rPr>
  </w:style>
  <w:style w:type="paragraph" w:styleId="P14">
    <w:name w:val="正文 New New"/>
    <w:next w:val="P14"/>
    <w:pPr>
      <w:widowControl w:val="0"/>
      <w:jc w:val="both"/>
    </w:pPr>
    <w:rPr>
      <w:rFonts w:ascii="Calibri" w:hAnsi="Calibri"/>
      <w:sz w:val="32"/>
    </w:rPr>
  </w:style>
  <w:style w:type="paragraph" w:styleId="P15">
    <w:name w:val="Normal New New New New"/>
    <w:next w:val="P15"/>
    <w:pPr>
      <w:widowControl w:val="0"/>
      <w:jc w:val="both"/>
    </w:pPr>
    <w:rPr>
      <w:rFonts w:ascii="Calibri" w:hAnsi="Calibri"/>
      <w:sz w:val="21"/>
    </w:rPr>
  </w:style>
  <w:style w:type="paragraph" w:styleId="P16">
    <w:name w:val="页眉"/>
    <w:basedOn w:val="P1"/>
    <w:next w:val="P1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7">
    <w:name w:val="Normal (Web)"/>
    <w:basedOn w:val="P1"/>
    <w:next w:val="P17"/>
    <w:pPr>
      <w:widowControl w:val="1"/>
      <w:spacing w:before="100" w:after="100" w:beforeAutospacing="1" w:afterAutospacing="1"/>
      <w:jc w:val="left"/>
    </w:pPr>
    <w:rPr>
      <w:rFonts w:ascii="宋体" w:hAnsi="宋体"/>
      <w:sz w:val="24"/>
    </w:rPr>
  </w:style>
  <w:style w:type="paragraph" w:styleId="P18">
    <w:name w:val="Char1"/>
    <w:basedOn w:val="P1"/>
    <w:next w:val="P18"/>
    <w:link w:val="C3"/>
    <w:pPr/>
    <w:rPr/>
  </w:style>
  <w:style w:type="paragraph" w:styleId="P19">
    <w:name w:val="页脚"/>
    <w:basedOn w:val="P1"/>
    <w:next w:val="P19"/>
    <w:pPr>
      <w:tabs>
        <w:tab w:val="center" w:pos="4153" w:leader="none"/>
        <w:tab w:val="right" w:pos="8306" w:leader="none"/>
      </w:tabs>
      <w:jc w:val="left"/>
    </w:pPr>
    <w:rPr>
      <w:sz w:val="18"/>
    </w:rPr>
  </w:style>
  <w:style w:type="paragraph" w:styleId="P20">
    <w:name w:val="普通(网站) New New"/>
    <w:basedOn w:val="P4"/>
    <w:next w:val="P20"/>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21">
    <w:name w:val="普通(网站) New"/>
    <w:basedOn w:val="P8"/>
    <w:next w:val="P21"/>
    <w:pPr>
      <w:widowControl w:val="1"/>
      <w:spacing w:before="100" w:after="100" w:beforeAutospacing="1" w:afterAutospacing="1"/>
      <w:jc w:val="left"/>
    </w:pPr>
    <w:rPr>
      <w:rFonts w:ascii="宋体" w:hAnsi="宋体"/>
      <w:sz w:val="24"/>
    </w:rPr>
  </w:style>
  <w:style w:type="paragraph" w:styleId="P2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4"/>
    <w:next w:val="P22"/>
    <w:pPr>
      <w:keepNext w:val="0"/>
      <w:keepLines w:val="0"/>
      <w:widowControl w:val="0"/>
      <w:suppressLineNumbers w:val="0"/>
      <w:spacing w:before="0" w:after="0" w:beforeAutospacing="0" w:afterAutospacing="0"/>
      <w:ind w:left="0" w:right="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tyle>
  <w:style w:type="character" w:styleId="C4">
    <w:name w:val="bjh-p"/>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2024-08-28T01:36:48Z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