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9DD371" Type="http://schemas.openxmlformats.org/officeDocument/2006/relationships/officeDocument" Target="/word/document.xml" /><Relationship Id="coreR309DD371" Type="http://schemas.openxmlformats.org/package/2006/relationships/metadata/core-properties" Target="/docProps/core.xml" /><Relationship Id="customR309DD37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0"/>
        <w:jc w:val="center"/>
      </w:pPr>
    </w:p>
    <w:p>
      <w:pPr>
        <w:pStyle w:val="P1"/>
        <w:ind w:firstLine="0"/>
        <w:jc w:val="center"/>
      </w:pPr>
    </w:p>
    <w:p>
      <w:pPr>
        <w:pStyle w:val="P1"/>
        <w:ind w:firstLine="0"/>
        <w:jc w:val="center"/>
        <w:rPr>
          <w:rStyle w:val="C3"/>
          <w:sz w:val="44"/>
        </w:rPr>
      </w:pPr>
      <w:r>
        <w:rPr>
          <w:rStyle w:val="C3"/>
          <w:rFonts w:ascii="方正姚体" w:hAnsi="方正姚体"/>
          <w:sz w:val="44"/>
        </w:rPr>
        <w:t>苏州市人民代表大会常务委员会</w:t>
      </w:r>
    </w:p>
    <w:p>
      <w:pPr>
        <w:pStyle w:val="P1"/>
        <w:ind w:firstLine="0"/>
        <w:jc w:val="center"/>
        <w:rPr>
          <w:rStyle w:val="C3"/>
          <w:sz w:val="44"/>
        </w:rPr>
      </w:pPr>
      <w:r>
        <w:rPr>
          <w:rStyle w:val="C3"/>
          <w:rFonts w:ascii="方正姚体" w:hAnsi="方正姚体"/>
          <w:sz w:val="44"/>
        </w:rPr>
        <w:t>关于修改《苏州市养犬管理条例》的决定</w:t>
      </w:r>
    </w:p>
    <w:p>
      <w:pPr>
        <w:pStyle w:val="P1"/>
        <w:ind w:firstLine="0"/>
        <w:jc w:val="center"/>
      </w:pPr>
      <w:r>
        <w:rPr>
          <w:rFonts w:ascii="方正姚体" w:hAnsi="方正姚体"/>
        </w:rPr>
        <w:t>（</w:t>
      </w:r>
      <w:r>
        <w:t>2022</w:t>
      </w:r>
      <w:r>
        <w:rPr>
          <w:rFonts w:ascii="方正姚体" w:hAnsi="方正姚体"/>
        </w:rPr>
        <w:t>年</w:t>
      </w:r>
      <w:r>
        <w:t>6</w:t>
      </w:r>
      <w:r>
        <w:rPr>
          <w:rFonts w:ascii="方正姚体" w:hAnsi="方正姚体"/>
        </w:rPr>
        <w:t>月</w:t>
      </w:r>
      <w:r>
        <w:t>27</w:t>
      </w:r>
      <w:r>
        <w:rPr>
          <w:rFonts w:ascii="方正姚体" w:hAnsi="方正姚体"/>
        </w:rPr>
        <w:t>日苏州市第十七届人民代表大会</w:t>
      </w:r>
    </w:p>
    <w:p>
      <w:pPr>
        <w:pStyle w:val="P1"/>
        <w:ind w:firstLine="0"/>
        <w:jc w:val="center"/>
      </w:pPr>
      <w:r>
        <w:rPr>
          <w:rFonts w:ascii="方正姚体" w:hAnsi="方正姚体"/>
        </w:rPr>
        <w:t>常务委员会第二次会议通过</w:t>
      </w:r>
      <w:r>
        <w:t xml:space="preserve">  2022</w:t>
      </w:r>
      <w:r>
        <w:rPr>
          <w:rFonts w:ascii="方正姚体" w:hAnsi="方正姚体"/>
        </w:rPr>
        <w:t>年</w:t>
      </w:r>
      <w:r>
        <w:t>7</w:t>
      </w:r>
      <w:r>
        <w:rPr>
          <w:rFonts w:ascii="方正姚体" w:hAnsi="方正姚体"/>
        </w:rPr>
        <w:t>月</w:t>
      </w:r>
      <w:r>
        <w:t>29</w:t>
      </w:r>
      <w:r>
        <w:rPr>
          <w:rFonts w:ascii="方正姚体" w:hAnsi="方正姚体"/>
        </w:rPr>
        <w:t>日江苏省</w:t>
      </w:r>
    </w:p>
    <w:p>
      <w:pPr>
        <w:pStyle w:val="P1"/>
        <w:ind w:firstLine="0"/>
        <w:jc w:val="center"/>
      </w:pPr>
      <w:r>
        <w:rPr>
          <w:rFonts w:ascii="方正姚体" w:hAnsi="方正姚体"/>
        </w:rPr>
        <w:t>第十三届人民代表大会常务委员会第三十一次会议批准）</w:t>
      </w:r>
    </w:p>
    <w:p>
      <w:pPr>
        <w:pStyle w:val="P1"/>
        <w:tabs>
          <w:tab w:val="left" w:pos="2268" w:leader="none"/>
        </w:tabs>
        <w:ind w:firstLine="624"/>
      </w:pPr>
    </w:p>
    <w:p>
      <w:pPr>
        <w:pStyle w:val="P1"/>
        <w:tabs>
          <w:tab w:val="left" w:pos="2268" w:leader="none"/>
        </w:tabs>
        <w:ind w:firstLine="624"/>
      </w:pPr>
      <w:r>
        <w:rPr>
          <w:rFonts w:ascii="方正姚体" w:hAnsi="方正姚体"/>
        </w:rPr>
        <w:t>苏州市第十七届人民代表大会常务委员会第二次会议决定对《苏州市养犬管理条例》作如下修改：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一</w:t>
      </w:r>
      <w:r>
        <w:rPr>
          <w:rFonts w:ascii="方正姚体" w:hAnsi="方正姚体"/>
        </w:rPr>
        <w:t>、将第四条、第五条、第九条、第十三条、第十八条、第二十二条、第二十四条、第二十六条、第二十九条、第四十条中的</w:t>
      </w:r>
      <w:r>
        <w:t>“</w:t>
      </w:r>
      <w:r>
        <w:rPr>
          <w:rFonts w:ascii="方正姚体" w:hAnsi="方正姚体"/>
        </w:rPr>
        <w:t>畜牧兽医</w:t>
      </w:r>
      <w:r>
        <w:t>”</w:t>
      </w:r>
      <w:r>
        <w:rPr>
          <w:rFonts w:ascii="方正姚体" w:hAnsi="方正姚体"/>
        </w:rPr>
        <w:t>修改为</w:t>
      </w:r>
      <w:r>
        <w:t>“</w:t>
      </w:r>
      <w:r>
        <w:rPr>
          <w:rFonts w:ascii="方正姚体" w:hAnsi="方正姚体"/>
        </w:rPr>
        <w:t>农业农村</w:t>
      </w:r>
      <w:r>
        <w:t>”</w:t>
      </w:r>
      <w:r>
        <w:rPr>
          <w:rFonts w:ascii="方正姚体" w:hAnsi="方正姚体"/>
        </w:rPr>
        <w:t>。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二</w:t>
      </w:r>
      <w:r>
        <w:rPr>
          <w:rFonts w:ascii="方正姚体" w:hAnsi="方正姚体"/>
        </w:rPr>
        <w:t>、将第四条、第五条、第七条、第九条、第十八条、第三十五条、第三十八条、第四十条中的</w:t>
      </w:r>
      <w:r>
        <w:t>“</w:t>
      </w:r>
      <w:r>
        <w:rPr>
          <w:rFonts w:ascii="方正姚体" w:hAnsi="方正姚体"/>
        </w:rPr>
        <w:t>市容市政（城市管理）</w:t>
      </w:r>
      <w:r>
        <w:t>”</w:t>
      </w:r>
      <w:r>
        <w:rPr>
          <w:rFonts w:ascii="方正姚体" w:hAnsi="方正姚体"/>
        </w:rPr>
        <w:t>修改为</w:t>
      </w:r>
      <w:r>
        <w:t>“</w:t>
      </w:r>
      <w:r>
        <w:rPr>
          <w:rFonts w:ascii="方正姚体" w:hAnsi="方正姚体"/>
        </w:rPr>
        <w:t>城市管理</w:t>
      </w:r>
      <w:r>
        <w:t>”</w:t>
      </w:r>
      <w:r>
        <w:rPr>
          <w:rFonts w:ascii="方正姚体" w:hAnsi="方正姚体"/>
        </w:rPr>
        <w:t>。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三</w:t>
      </w:r>
      <w:r>
        <w:rPr>
          <w:rFonts w:ascii="方正姚体" w:hAnsi="方正姚体"/>
        </w:rPr>
        <w:t>、将第四条、第五条、第十八条中的</w:t>
      </w:r>
      <w:r>
        <w:t>“</w:t>
      </w:r>
      <w:r>
        <w:rPr>
          <w:rFonts w:ascii="方正姚体" w:hAnsi="方正姚体"/>
        </w:rPr>
        <w:t>卫生</w:t>
      </w:r>
      <w:r>
        <w:t>”</w:t>
      </w:r>
      <w:r>
        <w:rPr>
          <w:rFonts w:ascii="方正姚体" w:hAnsi="方正姚体"/>
        </w:rPr>
        <w:t>修改为</w:t>
      </w:r>
      <w:r>
        <w:t>“</w:t>
      </w:r>
      <w:r>
        <w:rPr>
          <w:rFonts w:ascii="方正姚体" w:hAnsi="方正姚体"/>
        </w:rPr>
        <w:t>卫生健康</w:t>
      </w:r>
      <w:r>
        <w:t>”</w:t>
      </w:r>
      <w:r>
        <w:rPr>
          <w:rFonts w:ascii="方正姚体" w:hAnsi="方正姚体"/>
        </w:rPr>
        <w:t>。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四</w:t>
      </w:r>
      <w:r>
        <w:rPr>
          <w:rFonts w:ascii="方正姚体" w:hAnsi="方正姚体"/>
        </w:rPr>
        <w:t>、将第五条第二款修改为：</w:t>
      </w:r>
      <w:r>
        <w:t>“</w:t>
      </w:r>
      <w:r>
        <w:rPr>
          <w:rFonts w:ascii="方正姚体" w:hAnsi="方正姚体"/>
        </w:rPr>
        <w:t>农业农村部门负责犬只的免疫、防疫监督管理，依法实施动物防疫条件许可和动物诊疗许可，组织对疫犬、疑似疫犬、无主犬尸的无害化处理，监督指导养犬人对犬尸的无害化处理等防疫工作。动物卫生监督机构负责犬只的检疫工作。</w:t>
      </w:r>
      <w:r>
        <w:t>”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五</w:t>
      </w:r>
      <w:r>
        <w:rPr>
          <w:rFonts w:ascii="方正姚体" w:hAnsi="方正姚体"/>
        </w:rPr>
        <w:t>、第五条增加一款，作为第八款：</w:t>
      </w:r>
      <w:r>
        <w:t>“</w:t>
      </w:r>
      <w:r>
        <w:rPr>
          <w:rFonts w:ascii="方正姚体" w:hAnsi="方正姚体"/>
        </w:rPr>
        <w:t>镇人民政府、街道办事处组织协调居民委员会、村民委员会，做好本辖区流浪犬的控制和处置，防止疫病传播。</w:t>
      </w:r>
      <w:r>
        <w:t>”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六</w:t>
      </w:r>
      <w:r>
        <w:rPr>
          <w:rFonts w:ascii="方正姚体" w:hAnsi="方正姚体"/>
        </w:rPr>
        <w:t>、将第十条第一款修改为：</w:t>
      </w:r>
      <w:r>
        <w:t>“</w:t>
      </w:r>
      <w:r>
        <w:rPr>
          <w:rFonts w:ascii="方正姚体" w:hAnsi="方正姚体"/>
        </w:rPr>
        <w:t>本市依法对饲养的犬只实施动物狂犬病强制免疫。犬只犬龄满三个月或者免疫间隔期满的，养犬人应当按照国家有关规定，为犬只注射兽用狂犬病疫苗，取得动物诊疗机构或者镇、街道动物防疫机构出具的动物狂犬病免疫证明。免疫证明格式由农业农村部门统一制定。动物诊疗机构应当将犬只免疫信息及时录入犬只免疫管理平台。</w:t>
      </w:r>
      <w:r>
        <w:t>”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七</w:t>
      </w:r>
      <w:r>
        <w:rPr>
          <w:rFonts w:ascii="方正姚体" w:hAnsi="方正姚体"/>
        </w:rPr>
        <w:t>、删去第十条第二款。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八</w:t>
      </w:r>
      <w:r>
        <w:rPr>
          <w:rFonts w:ascii="方正姚体" w:hAnsi="方正姚体"/>
        </w:rPr>
        <w:t>、将第十一条第二款修改为：</w:t>
      </w:r>
      <w:r>
        <w:t>“</w:t>
      </w:r>
      <w:r>
        <w:rPr>
          <w:rFonts w:ascii="方正姚体" w:hAnsi="方正姚体"/>
        </w:rPr>
        <w:t>公安机关应当向社会公布养犬登记办理场所。</w:t>
      </w:r>
      <w:r>
        <w:t>”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九</w:t>
      </w:r>
      <w:r>
        <w:rPr>
          <w:rFonts w:ascii="方正姚体" w:hAnsi="方正姚体"/>
        </w:rPr>
        <w:t>、将第十四条、第十五条、第十七条中的</w:t>
      </w:r>
      <w:r>
        <w:t>“</w:t>
      </w:r>
      <w:r>
        <w:rPr>
          <w:rFonts w:ascii="方正姚体" w:hAnsi="方正姚体"/>
        </w:rPr>
        <w:t>畜牧兽医部门印发</w:t>
      </w:r>
      <w:r>
        <w:t>”</w:t>
      </w:r>
      <w:r>
        <w:rPr>
          <w:rFonts w:ascii="方正姚体" w:hAnsi="方正姚体"/>
        </w:rPr>
        <w:t>修改为</w:t>
      </w:r>
      <w:r>
        <w:t>“</w:t>
      </w:r>
      <w:r>
        <w:rPr>
          <w:rFonts w:ascii="方正姚体" w:hAnsi="方正姚体"/>
        </w:rPr>
        <w:t>动物诊疗机构或者镇、街道动物防疫机构出具</w:t>
      </w:r>
      <w:r>
        <w:t>”</w:t>
      </w:r>
      <w:r>
        <w:rPr>
          <w:rFonts w:ascii="方正姚体" w:hAnsi="方正姚体"/>
        </w:rPr>
        <w:t>。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十</w:t>
      </w:r>
      <w:r>
        <w:rPr>
          <w:rFonts w:ascii="方正姚体" w:hAnsi="方正姚体"/>
        </w:rPr>
        <w:t>、第二十五条增加两款，作为第三款、第四款：</w:t>
      </w:r>
      <w:r>
        <w:t>“</w:t>
      </w:r>
      <w:r>
        <w:rPr>
          <w:rFonts w:ascii="方正姚体" w:hAnsi="方正姚体"/>
        </w:rPr>
        <w:t>在江河、湖泊、水库等水域发现的死亡犬只，由所在地县级市（区）人民政府组织收集、处理并溯源。</w:t>
      </w:r>
      <w:r>
        <w:t>”“</w:t>
      </w:r>
      <w:r>
        <w:rPr>
          <w:rFonts w:ascii="方正姚体" w:hAnsi="方正姚体"/>
        </w:rPr>
        <w:t>在城市公共场所和乡村发现的死亡犬只，由所在地镇人民政府、街道办事处组织收集、处理并溯源。</w:t>
      </w:r>
      <w:r>
        <w:t>”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十一</w:t>
      </w:r>
      <w:r>
        <w:rPr>
          <w:rFonts w:ascii="方正姚体" w:hAnsi="方正姚体"/>
        </w:rPr>
        <w:t>、将第二十九条第一款中的</w:t>
      </w:r>
      <w:r>
        <w:t>“</w:t>
      </w:r>
      <w:r>
        <w:rPr>
          <w:rFonts w:ascii="方正姚体" w:hAnsi="方正姚体"/>
        </w:rPr>
        <w:t>工商登记</w:t>
      </w:r>
      <w:r>
        <w:t>”</w:t>
      </w:r>
      <w:r>
        <w:rPr>
          <w:rFonts w:ascii="方正姚体" w:hAnsi="方正姚体"/>
        </w:rPr>
        <w:t>修改为</w:t>
      </w:r>
      <w:r>
        <w:t>“</w:t>
      </w:r>
      <w:r>
        <w:rPr>
          <w:rFonts w:ascii="方正姚体" w:hAnsi="方正姚体"/>
        </w:rPr>
        <w:t>市场主体登记</w:t>
      </w:r>
      <w:r>
        <w:t>”</w:t>
      </w:r>
      <w:r>
        <w:rPr>
          <w:rFonts w:ascii="方正姚体" w:hAnsi="方正姚体"/>
        </w:rPr>
        <w:t>。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十二</w:t>
      </w:r>
      <w:r>
        <w:rPr>
          <w:rFonts w:ascii="方正姚体" w:hAnsi="方正姚体"/>
        </w:rPr>
        <w:t>、将第三十一条修改为：</w:t>
      </w:r>
      <w:r>
        <w:t>“</w:t>
      </w:r>
      <w:r>
        <w:rPr>
          <w:rFonts w:ascii="方正姚体" w:hAnsi="方正姚体"/>
        </w:rPr>
        <w:t>违反本条例第十条规定，未对犬龄满三个月或者免疫间隔期满的犬只进行动物狂犬病免疫的，由农业农村部门责令限期改正，可以处以一百元以上一千元以下罚款；逾期不改正的，处以一千元以上五千元以下罚款，由农业农村部门委托动物诊疗机构代为进行动物狂犬病免疫，所需费用由养犬人承担。</w:t>
      </w:r>
      <w:r>
        <w:t>”</w:t>
      </w:r>
    </w:p>
    <w:p>
      <w:pPr>
        <w:pStyle w:val="P1"/>
        <w:tabs>
          <w:tab w:val="left" w:pos="2268" w:leader="none"/>
        </w:tabs>
        <w:ind w:firstLine="624"/>
      </w:pPr>
      <w:r>
        <w:rPr>
          <w:rStyle w:val="C3"/>
          <w:rFonts w:ascii="黑体" w:hAnsi="黑体"/>
        </w:rPr>
        <w:t>十三</w:t>
      </w:r>
      <w:r>
        <w:rPr>
          <w:rFonts w:ascii="方正姚体" w:hAnsi="方正姚体"/>
        </w:rPr>
        <w:t>、将第三十二条第一款修改为：</w:t>
      </w:r>
      <w:r>
        <w:t>“</w:t>
      </w:r>
      <w:r>
        <w:rPr>
          <w:rFonts w:ascii="方正姚体" w:hAnsi="方正姚体"/>
        </w:rPr>
        <w:t>违反本条例第十一条第一款规定，养犬未经登记的，由公安机关责令养犬人在三个工作日内改正；逾期不改正的，对单位处以二千元以上一万元以下罚款，对个人处以三百元以上二千元以下罚款，并没收犬只。</w:t>
      </w:r>
      <w:r>
        <w:t>”</w:t>
      </w:r>
    </w:p>
    <w:p>
      <w:pPr>
        <w:pStyle w:val="P11"/>
        <w:ind w:firstLine="624" w:left="0"/>
        <w:rPr>
          <w:rStyle w:val="C3"/>
          <w:rFonts w:ascii="Times New Roman" w:hAnsi="Times New Roman"/>
          <w:b w:val="1"/>
          <w:sz w:val="32"/>
        </w:rPr>
      </w:pPr>
      <w:r>
        <w:rPr>
          <w:rStyle w:val="C3"/>
          <w:rFonts w:ascii="黑体" w:hAnsi="黑体"/>
          <w:b w:val="0"/>
          <w:sz w:val="32"/>
        </w:rPr>
        <w:t>十四</w:t>
      </w:r>
      <w:r>
        <w:rPr>
          <w:rStyle w:val="C3"/>
          <w:rFonts w:ascii="方正姚体" w:hAnsi="方正姚体"/>
          <w:b w:val="0"/>
          <w:sz w:val="32"/>
        </w:rPr>
        <w:t>、删去第三十九条中的</w:t>
      </w:r>
      <w:r>
        <w:rPr>
          <w:rStyle w:val="C3"/>
          <w:rFonts w:ascii="Times New Roman" w:hAnsi="Times New Roman"/>
          <w:b w:val="0"/>
          <w:sz w:val="32"/>
        </w:rPr>
        <w:t>“</w:t>
      </w:r>
      <w:r>
        <w:rPr>
          <w:rStyle w:val="C3"/>
          <w:rFonts w:ascii="方正姚体" w:hAnsi="方正姚体"/>
          <w:b w:val="0"/>
          <w:sz w:val="32"/>
        </w:rPr>
        <w:t>按照规定实施联合惩戒</w:t>
      </w:r>
      <w:r>
        <w:rPr>
          <w:rStyle w:val="C3"/>
          <w:rFonts w:ascii="Times New Roman" w:hAnsi="Times New Roman"/>
          <w:b w:val="0"/>
          <w:sz w:val="32"/>
        </w:rPr>
        <w:t>”</w:t>
      </w:r>
      <w:r>
        <w:rPr>
          <w:rStyle w:val="C3"/>
          <w:rFonts w:ascii="方正姚体" w:hAnsi="方正姚体"/>
          <w:b w:val="0"/>
          <w:sz w:val="32"/>
        </w:rPr>
        <w:t>。</w:t>
      </w:r>
    </w:p>
    <w:p>
      <w:pPr>
        <w:pStyle w:val="P1"/>
        <w:ind w:firstLine="624"/>
      </w:pPr>
      <w:r>
        <w:rPr>
          <w:rFonts w:ascii="方正姚体" w:hAnsi="方正姚体"/>
        </w:rPr>
        <w:t>此外，对个别文字作相应修改。</w:t>
      </w:r>
    </w:p>
    <w:p>
      <w:pPr>
        <w:pStyle w:val="P11"/>
        <w:ind w:firstLine="624" w:left="0"/>
        <w:rPr>
          <w:rStyle w:val="C3"/>
          <w:rFonts w:ascii="Times New Roman" w:hAnsi="Times New Roman"/>
          <w:b w:val="1"/>
          <w:sz w:val="32"/>
        </w:rPr>
      </w:pPr>
      <w:r>
        <w:rPr>
          <w:rStyle w:val="C3"/>
          <w:rFonts w:ascii="方正姚体" w:hAnsi="方正姚体"/>
          <w:b w:val="0"/>
          <w:sz w:val="32"/>
        </w:rPr>
        <w:t>本决定自</w:t>
      </w:r>
      <w:r>
        <w:rPr>
          <w:rStyle w:val="C3"/>
          <w:rFonts w:ascii="Times New Roman" w:hAnsi="Times New Roman"/>
          <w:b w:val="0"/>
          <w:sz w:val="32"/>
        </w:rPr>
        <w:t>2022</w:t>
      </w:r>
      <w:r>
        <w:rPr>
          <w:rStyle w:val="C3"/>
          <w:rFonts w:ascii="方正姚体" w:hAnsi="方正姚体"/>
          <w:b w:val="0"/>
          <w:sz w:val="32"/>
        </w:rPr>
        <w:t>年</w:t>
      </w:r>
      <w:r>
        <w:rPr>
          <w:rStyle w:val="C3"/>
          <w:rFonts w:ascii="Times New Roman" w:hAnsi="Times New Roman"/>
          <w:b w:val="0"/>
          <w:sz w:val="32"/>
        </w:rPr>
        <w:t>10</w:t>
      </w:r>
      <w:r>
        <w:rPr>
          <w:rStyle w:val="C3"/>
          <w:rFonts w:ascii="方正姚体" w:hAnsi="方正姚体"/>
          <w:b w:val="0"/>
          <w:sz w:val="32"/>
        </w:rPr>
        <w:t>月</w:t>
      </w:r>
      <w:r>
        <w:rPr>
          <w:rStyle w:val="C3"/>
          <w:rFonts w:ascii="Times New Roman" w:hAnsi="Times New Roman"/>
          <w:b w:val="0"/>
          <w:sz w:val="32"/>
        </w:rPr>
        <w:t>1</w:t>
      </w:r>
      <w:r>
        <w:rPr>
          <w:rStyle w:val="C3"/>
          <w:rFonts w:ascii="方正姚体" w:hAnsi="方正姚体"/>
          <w:b w:val="0"/>
          <w:sz w:val="32"/>
        </w:rPr>
        <w:t>日起施行。</w:t>
      </w:r>
    </w:p>
    <w:p>
      <w:pPr>
        <w:pStyle w:val="P1"/>
        <w:ind w:firstLine="624"/>
        <w:rPr>
          <w:rStyle w:val="C3"/>
        </w:rPr>
      </w:pPr>
    </w:p>
    <w:p>
      <w:pPr>
        <w:pStyle w:val="P1"/>
        <w:ind w:firstLine="640"/>
        <w:rPr>
          <w:rStyle w:val="C3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640"/>
        <w:rPr>
          <w:rStyle w:val="C3"/>
          <w:rFonts w:ascii="Times New Roman" w:hAnsi="Times New Roman"/>
          <w:b w:val="0"/>
          <w:color w:val="auto"/>
          <w:sz w:val="32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3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3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3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7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7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7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Default"/>
    <w:next w:val="P2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No Spacing"/>
    <w:next w:val="P3"/>
    <w:pPr/>
    <w:rPr>
      <w:rFonts w:ascii="Tahoma" w:hAnsi="Tahoma"/>
      <w:sz w:val="22"/>
    </w:rPr>
  </w:style>
  <w:style w:type="paragraph" w:styleId="P4">
    <w:name w:val="标题 1"/>
    <w:basedOn w:val="P1"/>
    <w:next w:val="P1"/>
    <w:link w:val="C7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普通(网站)"/>
    <w:basedOn w:val="P1"/>
    <w:next w:val="P7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8">
    <w:name w:val="正文缩进"/>
    <w:basedOn w:val="P1"/>
    <w:next w:val="P1"/>
    <w:pPr>
      <w:ind w:firstLine="0"/>
      <w:jc w:val="left"/>
    </w:pPr>
    <w:rPr/>
  </w:style>
  <w:style w:type="paragraph" w:styleId="P9">
    <w:name w:val="纯文本"/>
    <w:basedOn w:val="P1"/>
    <w:next w:val="P9"/>
    <w:link w:val="C10"/>
    <w:pPr>
      <w:spacing w:lineRule="auto" w:line="240"/>
      <w:ind w:firstLine="0"/>
    </w:pPr>
    <w:rPr>
      <w:rFonts w:ascii="宋体" w:hAnsi="宋体"/>
      <w:sz w:val="21"/>
    </w:rPr>
  </w:style>
  <w:style w:type="paragraph" w:styleId="P10">
    <w:name w:val="HTML 预设格式"/>
    <w:basedOn w:val="P1"/>
    <w:next w:val="P10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11">
    <w:name w:val="目录 3"/>
    <w:basedOn w:val="P1"/>
    <w:next w:val="P1"/>
    <w:pPr>
      <w:ind w:left="420"/>
    </w:pPr>
    <w:rPr>
      <w:rFonts w:ascii="等线" w:hAnsi="等线"/>
      <w:b w:val="1"/>
      <w:sz w:val="30"/>
    </w:rPr>
  </w:style>
  <w:style w:type="paragraph" w:styleId="P12">
    <w:name w:val="_Style 7"/>
    <w:basedOn w:val="P1"/>
    <w:next w:val="P12"/>
    <w:pPr>
      <w:widowControl w:val="1"/>
      <w:spacing w:lineRule="exact" w:line="240" w:after="160"/>
      <w:jc w:val="left"/>
    </w:pPr>
    <w:rPr/>
  </w:style>
  <w:style w:type="paragraph" w:styleId="P13">
    <w:name w:val="页脚"/>
    <w:basedOn w:val="P1"/>
    <w:next w:val="P13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4">
    <w:name w:val="正文文本缩进 2"/>
    <w:basedOn w:val="P1"/>
    <w:next w:val="P14"/>
    <w:pPr>
      <w:spacing w:lineRule="atLeast" w:line="567"/>
      <w:ind w:hanging="1120" w:left="1120"/>
    </w:pPr>
    <w:rPr>
      <w:sz w:val="28"/>
    </w:rPr>
  </w:style>
  <w:style w:type="paragraph" w:styleId="P15">
    <w:name w:val="正文文本缩进"/>
    <w:basedOn w:val="P1"/>
    <w:next w:val="P15"/>
    <w:pPr>
      <w:spacing w:lineRule="exact" w:line="500"/>
      <w:ind w:firstLine="630"/>
    </w:pPr>
    <w:rPr>
      <w:rFonts w:ascii="仿宋_GB2312" w:hAnsi="仿宋_GB2312"/>
    </w:rPr>
  </w:style>
  <w:style w:type="paragraph" w:styleId="P16">
    <w:name w:val="正文文本缩进 3"/>
    <w:basedOn w:val="P1"/>
    <w:next w:val="P16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7">
    <w:name w:val="页眉"/>
    <w:basedOn w:val="P1"/>
    <w:next w:val="P17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8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9">
    <w:name w:val="正文文本"/>
    <w:basedOn w:val="P1"/>
    <w:next w:val="P19"/>
    <w:pPr>
      <w:spacing w:after="120"/>
    </w:pPr>
    <w:rPr/>
  </w:style>
  <w:style w:type="paragraph" w:styleId="P20">
    <w:name w:val="msonormalcxspmiddle"/>
    <w:basedOn w:val="P1"/>
    <w:next w:val="P2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1">
    <w:name w:val="msolistparagraph"/>
    <w:basedOn w:val="P1"/>
    <w:next w:val="P21"/>
    <w:qFormat/>
    <w:pPr/>
    <w:rPr>
      <w:rFonts w:ascii="Calibri" w:hAnsi="Calibri"/>
      <w:sz w:val="21"/>
    </w:rPr>
  </w:style>
  <w:style w:type="paragraph" w:styleId="P22">
    <w:name w:val="msoplaintextcxspmiddle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4">
    <w:name w:val="样式 样式 样式 文号 + 段后: 1 行 + 段后: 0.5 行 + 段后: 1 行1"/>
    <w:basedOn w:val="P1"/>
    <w:next w:val="P24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5">
    <w:name w:val="标题3"/>
    <w:basedOn w:val="P1"/>
    <w:next w:val="P1"/>
    <w:pPr/>
    <w:rPr>
      <w:rFonts w:ascii="方正黑体简体" w:hAnsi="方正黑体简体"/>
    </w:rPr>
  </w:style>
  <w:style w:type="paragraph" w:styleId="P26">
    <w:name w:val="标题5"/>
    <w:basedOn w:val="P1"/>
    <w:next w:val="P1"/>
    <w:pPr/>
    <w:rPr>
      <w:rFonts w:ascii="方正楷体简体" w:hAnsi="方正楷体简体"/>
    </w:rPr>
  </w:style>
  <w:style w:type="paragraph" w:styleId="P27">
    <w:name w:val="样式 样式 样式 样式 样式 样式 样式 样式 样式 文头 + 段前: 5 行 段后: 1 行 + 首行缩进:  0.63 厘米...3"/>
    <w:basedOn w:val="P1"/>
    <w:next w:val="P27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8">
    <w:name w:val="msonormalcxsplast"/>
    <w:basedOn w:val="P1"/>
    <w:next w:val="P2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9">
    <w:name w:val="抄送栏"/>
    <w:basedOn w:val="P1"/>
    <w:next w:val="P29"/>
    <w:pPr>
      <w:ind w:hanging="953" w:left="953"/>
    </w:pPr>
    <w:rPr/>
  </w:style>
  <w:style w:type="paragraph" w:styleId="P30">
    <w:name w:val="p0"/>
    <w:basedOn w:val="P1"/>
    <w:next w:val="P30"/>
    <w:pPr>
      <w:widowControl w:val="1"/>
    </w:pPr>
    <w:rPr>
      <w:rFonts w:ascii="Calibri" w:hAnsi="Calibri"/>
    </w:rPr>
  </w:style>
  <w:style w:type="paragraph" w:styleId="P31">
    <w:name w:val="msoplaintextcxsplast"/>
    <w:basedOn w:val="P1"/>
    <w:next w:val="P3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2">
    <w:name w:val="列出段落"/>
    <w:basedOn w:val="P1"/>
    <w:next w:val="P32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33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34">
    <w:name w:val="BodyText"/>
    <w:basedOn w:val="P1"/>
    <w:next w:val="P3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5">
    <w:name w:val="bt2"/>
    <w:basedOn w:val="P1"/>
    <w:next w:val="P35"/>
    <w:qFormat/>
    <w:pPr>
      <w:spacing w:lineRule="exact" w:line="368"/>
      <w:jc w:val="center"/>
    </w:pPr>
    <w:rPr>
      <w:rFonts w:ascii="黑体" w:hAnsi="黑体"/>
      <w:sz w:val="24"/>
    </w:rPr>
  </w:style>
  <w:style w:type="paragraph" w:styleId="P36">
    <w:name w:val="标题4"/>
    <w:basedOn w:val="P25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标题3 Char"/>
    <w:rPr>
      <w:rFonts w:ascii="Times New Roman" w:hAnsi="Times New Roman"/>
      <w:sz w:val="32"/>
    </w:rPr>
  </w:style>
  <w:style w:type="character" w:styleId="C6">
    <w:name w:val="NormalCharacter"/>
    <w:qFormat/>
    <w:rPr/>
  </w:style>
  <w:style w:type="character" w:styleId="C7">
    <w:name w:val="Heading 1 Char"/>
    <w:link w:val="P4"/>
    <w:qFormat/>
    <w:rPr>
      <w:b w:val="1"/>
      <w:sz w:val="44"/>
    </w:rPr>
  </w:style>
  <w:style w:type="character" w:styleId="C8">
    <w:name w:val="要点"/>
    <w:basedOn w:val="C3"/>
    <w:qFormat/>
    <w:rPr>
      <w:b w:val="1"/>
    </w:rPr>
  </w:style>
  <w:style w:type="character" w:styleId="C9">
    <w:name w:val="页码"/>
    <w:basedOn w:val="C3"/>
    <w:rPr/>
  </w:style>
  <w:style w:type="character" w:styleId="C10">
    <w:name w:val=" Char Char"/>
    <w:basedOn w:val="C3"/>
    <w:link w:val="P9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2022-08-17T09:07:00Z</dcterms:created>
  <cp:lastModifiedBy>f1TZOF\f1TZOF-</cp:lastModifiedBy>
  <cp:lastPrinted>2022-06-13T07:57:00Z</cp:lastPrinted>
  <dcterms:modified xsi:type="dcterms:W3CDTF">2024-08-28T01:36:49Z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