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C06DA" Type="http://schemas.openxmlformats.org/officeDocument/2006/relationships/officeDocument" Target="/word/document.xml" /><Relationship Id="coreR6C8C06DA" Type="http://schemas.openxmlformats.org/package/2006/relationships/metadata/core-properties" Target="/docProps/core.xml" /><Relationship Id="customR6C8C06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西藏自治区水利工程管理条例</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日西藏自治区第八届人民代表大会常务委员会第三十三次会议通过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日西藏自治区第九届人民代表大会常务委员会第二十五次会议修正）</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工程建设</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工程管理</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工程运营</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4"/>
        <w:widowControl w:val="0"/>
        <w:spacing w:lineRule="exact" w:line="576" w:before="0" w:after="0" w:beforeAutospacing="0" w:afterAutospacing="0"/>
        <w:ind w:left="420" w:right="420"/>
        <w:jc w:val="both"/>
        <w:rPr>
          <w:rStyle w:val="C3"/>
          <w:rFonts w:ascii="楷体_GB2312" w:hAnsi="楷体_GB2312"/>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第一章  总则</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为了加强对水利工程的建设、管理和保护，保障水利工程安全、正常运行，发挥水利工程的综合效益，适应国民经济和社会发展需要，根据《中华人民共和国水法》，结合自治区实际，制定本条例。</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本条例适用于自治区行政区域内防洪、灌溉、治涝、供水、发电等水利工程及其附属设施的管理。</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各级人民政府应当加强对水利工程建设和管理工作的领导，将水利工程建设纳入本地区国民经济和社会发展规划，加大对水利工程建设的投入，保障水利工程的安全和正常运行。</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各级人民政府水行政主管部门负责本行政区域内水利工程的监督管理工作。</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跨行政区域的水利工程由共同的上一级人民政府水行政主管部门负责监督管理。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水利工程管理单位负责水利工程的运行、维护和管理。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第五条各级人民政府应当制定优惠政策，鼓励和支持境内外投资者投资建设和经营水利工程。鼓励农牧民参与水利工程建设和维护。</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任何单位和个人有保护水利工程的义务，有制止、检举和控告侵占、损毁水利工程的行为的权利。</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各级人民政府应当对在水利工程的管理、保护、利用、科学技术研究、推广中成绩显著的单位和个人给予表彰、奖励。</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第二章  工程建设</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兴建（含新建、改建和扩建）水利工程应当服从流域规划和区域规划。工程的规划、设计、施工应当适应当地的自然环境和城乡经济社会发展趋势，充分发挥水利工程的综合效益。</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兴建水利工程应当依法办理规划、环境保护、土地利用、资源利用、安全生产、质量监督、开工建设等审批手续，并实行项目法人责任制、招标投标制、建筑工程监理制、合同管理制和工程质量终身负责制。</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兴建水利工程，其勘测、设计、施工、监理应当由具备相应资质的单位承担，接受人民政府水行政主管部门对工程质量的监督。</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水利工程建设方案，应当按下列规定审查：</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（一）大、中型水利工程，由自治区人民政府水行政主管部门审查；</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（二）小型水利工程，由市（地）人民政府水行政主管部门审查；</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（三）跨行政区域的水利工程，由共同的上一级人民政府水行政主管部门审查。</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前款所列水利工程属于公益性的，建设单位应当根据国家有关规定，结合自治区实际，提出工程管理的机构编制和维修定额方案，报相应的机构编制部门和财政部门审查批准后，建设单位方可按照国家基本建设程序办理其他审批手续。</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施工单位必须按照施工合同、设计文件、图纸和有关技术标准进行施工，不得擅自更改设计文件和图纸。</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建设单位和设计单位应当派驻代表对施工质量和进度进行监督检查。质量不符合要求的，施工单位必须返工或者采取补救措施。</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水利工程竣工后，建设单位应当按照国家和自治区有关水利工程竣工验收的规定，及时申请水行政主管部门进行竣工验收。未经验收或者验收不合格的水利工程，不得交付使用。</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水利工程的资产管理实行产权清晰、权责明确的制度。</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国家投资兴建的水利工程竣工验收合格的，建设单位应当向相应的国有资产管理部门进行水利工程产权登记，申领《国有资产产权登记证》；其他投资建设的水利工程应当按规定进行产权登记。</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本条例施行前尚未办理产权登记的，应当在本条例施行后限期补办产权登记手续。</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第三章  工程管理</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各级人民政府水行政主管部门应当按照职责，加强对水利工程管理工作的监督和管理。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县级以上人民政府水行政主管部门应当加强水利工程管理队伍建设，加大对管理人员的培训，提高管理水平。</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水利工程管理单位应当建立水利工程技术档案，制定管理办法，依法履行管理职责。</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农村集体投资为主兴建的水利工程，可以组建用水合作组织，设立管理单位或者配备管理人员，并报有管辖权的人民政府水行政主管部门备案。其他组织和个人投资为主兴建的水利工程，按照谁投资、谁所有、谁受益、谁管理的原则，可以采取多种模式实施管理，并报有管辖权的人民政府水行政主管部门备案。</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水利工程管理单位具体负责水利工程的运行维护和安全管理。其主要职责为：</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（一）按照水利工程规范管理的要求，制定日常的管理规则和操作规程，做好工程检查、观测、记录和有关资料的收集、整理、分析工作，定期申请对大中型和重要工程进行安全鉴定；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（二）维修养护水利工程，保持工程设施完好和正常运行；</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（三）掌握气象预报和水文预报，及时做好报汛、运行调度和防汛抗旱工作；</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（四）搞好工程绿化和水土保持工作。</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各级人民政府水行政主管部门应当按照分级管理原则，对管辖范围内的水利工程定期进行安全监督检查，及时督促水利工程权属单位对病、险水利工程进行除险加固，消除险情。</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大中型水利工程的管理单位负责人和工程管理技术人员，应当具备相应的专业知识和管理能力，并取得由县级以上人民政府水行政主管部门认可的上岗资格证书。未取得上岗资格证书的，不得从事大中型水利工程管理工作。</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水利工程管理单位应当在年初编制水利工程的用水、防洪调度计划，并报当地人民政府水行政主管部门批准。经批准的调度计划，未经原批准单位同意不得改变。</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任何单位和个人不得阻碍调度计划的实施。</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水利工程管理和保护范围：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（一）水库</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、大型水库主坝坡脚和坝端外</w:t>
      </w:r>
      <w:r>
        <w:rPr>
          <w:rStyle w:val="C3"/>
          <w:rFonts w:ascii="仿宋_GB2312" w:hAnsi="仿宋_GB2312"/>
          <w:color w:val="000000"/>
          <w:sz w:val="32"/>
        </w:rPr>
        <w:t>300</w:t>
      </w:r>
      <w:r>
        <w:rPr>
          <w:rStyle w:val="C3"/>
          <w:rFonts w:ascii="Microsoft YaHei UI" w:hAnsi="Microsoft YaHei UI"/>
          <w:color w:val="000000"/>
          <w:sz w:val="32"/>
        </w:rPr>
        <w:t>米、副坝坡脚和坝端外</w:t>
      </w:r>
      <w:r>
        <w:rPr>
          <w:rStyle w:val="C3"/>
          <w:rFonts w:ascii="仿宋_GB2312" w:hAnsi="仿宋_GB2312"/>
          <w:color w:val="000000"/>
          <w:sz w:val="32"/>
        </w:rPr>
        <w:t>100</w:t>
      </w:r>
      <w:r>
        <w:rPr>
          <w:rStyle w:val="C3"/>
          <w:rFonts w:ascii="Microsoft YaHei UI" w:hAnsi="Microsoft YaHei UI"/>
          <w:color w:val="000000"/>
          <w:sz w:val="32"/>
        </w:rPr>
        <w:t>米为管理范围，主坝管理范围以外</w:t>
      </w:r>
      <w:r>
        <w:rPr>
          <w:rStyle w:val="C3"/>
          <w:rFonts w:ascii="仿宋_GB2312" w:hAnsi="仿宋_GB2312"/>
          <w:color w:val="000000"/>
          <w:sz w:val="32"/>
        </w:rPr>
        <w:t>300</w:t>
      </w:r>
      <w:r>
        <w:rPr>
          <w:rStyle w:val="C3"/>
          <w:rFonts w:ascii="Microsoft YaHei UI" w:hAnsi="Microsoft YaHei UI"/>
          <w:color w:val="000000"/>
          <w:sz w:val="32"/>
        </w:rPr>
        <w:t>米、副坝管理范围以外</w:t>
      </w:r>
      <w:r>
        <w:rPr>
          <w:rStyle w:val="C3"/>
          <w:rFonts w:ascii="仿宋_GB2312" w:hAnsi="仿宋_GB2312"/>
          <w:color w:val="000000"/>
          <w:sz w:val="32"/>
        </w:rPr>
        <w:t>200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、中型水库主、副坝坝脚和坝端外</w:t>
      </w:r>
      <w:r>
        <w:rPr>
          <w:rStyle w:val="C3"/>
          <w:rFonts w:ascii="仿宋_GB2312" w:hAnsi="仿宋_GB2312"/>
          <w:color w:val="000000"/>
          <w:sz w:val="32"/>
        </w:rPr>
        <w:t>100</w:t>
      </w:r>
      <w:r>
        <w:rPr>
          <w:rStyle w:val="C3"/>
          <w:rFonts w:ascii="Microsoft YaHei UI" w:hAnsi="Microsoft YaHei UI"/>
          <w:color w:val="000000"/>
          <w:sz w:val="32"/>
        </w:rPr>
        <w:t>米为管理范围，此范围以外</w:t>
      </w:r>
      <w:r>
        <w:rPr>
          <w:rStyle w:val="C3"/>
          <w:rFonts w:ascii="仿宋_GB2312" w:hAnsi="仿宋_GB2312"/>
          <w:color w:val="000000"/>
          <w:sz w:val="32"/>
        </w:rPr>
        <w:t>200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3</w:t>
      </w:r>
      <w:r>
        <w:rPr>
          <w:rStyle w:val="C3"/>
          <w:rFonts w:ascii="Microsoft YaHei UI" w:hAnsi="Microsoft YaHei UI"/>
          <w:color w:val="000000"/>
          <w:sz w:val="32"/>
        </w:rPr>
        <w:t>、小型水库主、副坝坝脚和坝端外</w:t>
      </w:r>
      <w:r>
        <w:rPr>
          <w:rStyle w:val="C3"/>
          <w:rFonts w:ascii="仿宋_GB2312" w:hAnsi="仿宋_GB2312"/>
          <w:color w:val="000000"/>
          <w:sz w:val="32"/>
        </w:rPr>
        <w:t>50</w:t>
      </w:r>
      <w:r>
        <w:rPr>
          <w:rStyle w:val="C3"/>
          <w:rFonts w:ascii="Microsoft YaHei UI" w:hAnsi="Microsoft YaHei UI"/>
          <w:color w:val="000000"/>
          <w:sz w:val="32"/>
        </w:rPr>
        <w:t>米为管理范围，此范围以外</w:t>
      </w:r>
      <w:r>
        <w:rPr>
          <w:rStyle w:val="C3"/>
          <w:rFonts w:ascii="仿宋_GB2312" w:hAnsi="仿宋_GB2312"/>
          <w:color w:val="000000"/>
          <w:sz w:val="32"/>
        </w:rPr>
        <w:t>100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（二）河道堤防</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、设计标准为</w:t>
      </w:r>
      <w:r>
        <w:rPr>
          <w:rStyle w:val="C3"/>
          <w:rFonts w:ascii="仿宋_GB2312" w:hAnsi="仿宋_GB2312"/>
          <w:color w:val="000000"/>
          <w:sz w:val="32"/>
        </w:rPr>
        <w:t>100</w:t>
      </w:r>
      <w:r>
        <w:rPr>
          <w:rStyle w:val="C3"/>
          <w:rFonts w:ascii="Microsoft YaHei UI" w:hAnsi="Microsoft YaHei UI"/>
          <w:color w:val="000000"/>
          <w:sz w:val="32"/>
        </w:rPr>
        <w:t>年一遇的防洪堤从外坡堤脚算起每侧</w:t>
      </w:r>
      <w:r>
        <w:rPr>
          <w:rStyle w:val="C3"/>
          <w:rFonts w:ascii="仿宋_GB2312" w:hAnsi="仿宋_GB2312"/>
          <w:color w:val="000000"/>
          <w:sz w:val="32"/>
        </w:rPr>
        <w:t>50</w:t>
      </w:r>
      <w:r>
        <w:rPr>
          <w:rStyle w:val="C3"/>
          <w:rFonts w:ascii="Microsoft YaHei UI" w:hAnsi="Microsoft YaHei UI"/>
          <w:color w:val="000000"/>
          <w:sz w:val="32"/>
        </w:rPr>
        <w:t>米为管理范围，此范围以外</w:t>
      </w:r>
      <w:r>
        <w:rPr>
          <w:rStyle w:val="C3"/>
          <w:rFonts w:ascii="仿宋_GB2312" w:hAnsi="仿宋_GB2312"/>
          <w:color w:val="000000"/>
          <w:sz w:val="32"/>
        </w:rPr>
        <w:t>100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、设计标准为</w:t>
      </w:r>
      <w:r>
        <w:rPr>
          <w:rStyle w:val="C3"/>
          <w:rFonts w:ascii="仿宋_GB2312" w:hAnsi="仿宋_GB2312"/>
          <w:color w:val="000000"/>
          <w:sz w:val="32"/>
        </w:rPr>
        <w:t>50</w:t>
      </w:r>
      <w:r>
        <w:rPr>
          <w:rStyle w:val="C3"/>
          <w:rFonts w:ascii="Microsoft YaHei UI" w:hAnsi="Microsoft YaHei UI"/>
          <w:color w:val="000000"/>
          <w:sz w:val="32"/>
        </w:rPr>
        <w:t>年一遇的防洪堤从外坡堤脚算起每侧</w:t>
      </w:r>
      <w:r>
        <w:rPr>
          <w:rStyle w:val="C3"/>
          <w:rFonts w:ascii="仿宋_GB2312" w:hAnsi="仿宋_GB2312"/>
          <w:color w:val="000000"/>
          <w:sz w:val="32"/>
        </w:rPr>
        <w:t>30</w:t>
      </w:r>
      <w:r>
        <w:rPr>
          <w:rStyle w:val="C3"/>
          <w:rFonts w:ascii="Microsoft YaHei UI" w:hAnsi="Microsoft YaHei UI"/>
          <w:color w:val="000000"/>
          <w:sz w:val="32"/>
        </w:rPr>
        <w:t>米为管理范围，此范围以外</w:t>
      </w:r>
      <w:r>
        <w:rPr>
          <w:rStyle w:val="C3"/>
          <w:rFonts w:ascii="仿宋_GB2312" w:hAnsi="仿宋_GB2312"/>
          <w:color w:val="000000"/>
          <w:sz w:val="32"/>
        </w:rPr>
        <w:t>50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3</w:t>
      </w:r>
      <w:r>
        <w:rPr>
          <w:rStyle w:val="C3"/>
          <w:rFonts w:ascii="Microsoft YaHei UI" w:hAnsi="Microsoft YaHei UI"/>
          <w:color w:val="000000"/>
          <w:sz w:val="32"/>
        </w:rPr>
        <w:t>、设计标准为</w:t>
      </w:r>
      <w:r>
        <w:rPr>
          <w:rStyle w:val="C3"/>
          <w:rFonts w:ascii="仿宋_GB2312" w:hAnsi="仿宋_GB2312"/>
          <w:color w:val="000000"/>
          <w:sz w:val="32"/>
        </w:rPr>
        <w:t>20</w:t>
      </w:r>
      <w:r>
        <w:rPr>
          <w:rStyle w:val="C3"/>
          <w:rFonts w:ascii="Microsoft YaHei UI" w:hAnsi="Microsoft YaHei UI"/>
          <w:color w:val="000000"/>
          <w:sz w:val="32"/>
        </w:rPr>
        <w:t>年至</w:t>
      </w:r>
      <w:r>
        <w:rPr>
          <w:rStyle w:val="C3"/>
          <w:rFonts w:ascii="仿宋_GB2312" w:hAnsi="仿宋_GB2312"/>
          <w:color w:val="000000"/>
          <w:sz w:val="32"/>
        </w:rPr>
        <w:t>30</w:t>
      </w:r>
      <w:r>
        <w:rPr>
          <w:rStyle w:val="C3"/>
          <w:rFonts w:ascii="Microsoft YaHei UI" w:hAnsi="Microsoft YaHei UI"/>
          <w:color w:val="000000"/>
          <w:sz w:val="32"/>
        </w:rPr>
        <w:t>年一遇的防洪堤从外坡堤脚算起每侧</w:t>
      </w:r>
      <w:r>
        <w:rPr>
          <w:rStyle w:val="C3"/>
          <w:rFonts w:ascii="仿宋_GB2312" w:hAnsi="仿宋_GB2312"/>
          <w:color w:val="000000"/>
          <w:sz w:val="32"/>
        </w:rPr>
        <w:t>20</w:t>
      </w:r>
      <w:r>
        <w:rPr>
          <w:rStyle w:val="C3"/>
          <w:rFonts w:ascii="Microsoft YaHei UI" w:hAnsi="Microsoft YaHei UI"/>
          <w:color w:val="000000"/>
          <w:sz w:val="32"/>
        </w:rPr>
        <w:t>米为管理范围，此范围以外</w:t>
      </w:r>
      <w:r>
        <w:rPr>
          <w:rStyle w:val="C3"/>
          <w:rFonts w:ascii="仿宋_GB2312" w:hAnsi="仿宋_GB2312"/>
          <w:color w:val="000000"/>
          <w:sz w:val="32"/>
        </w:rPr>
        <w:t>30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4</w:t>
      </w:r>
      <w:r>
        <w:rPr>
          <w:rStyle w:val="C3"/>
          <w:rFonts w:ascii="Microsoft YaHei UI" w:hAnsi="Microsoft YaHei UI"/>
          <w:color w:val="000000"/>
          <w:sz w:val="32"/>
        </w:rPr>
        <w:t>、设计标准为</w:t>
      </w:r>
      <w:r>
        <w:rPr>
          <w:rStyle w:val="C3"/>
          <w:rFonts w:ascii="仿宋_GB2312" w:hAnsi="仿宋_GB2312"/>
          <w:color w:val="000000"/>
          <w:sz w:val="32"/>
        </w:rPr>
        <w:t>10</w:t>
      </w:r>
      <w:r>
        <w:rPr>
          <w:rStyle w:val="C3"/>
          <w:rFonts w:ascii="Microsoft YaHei UI" w:hAnsi="Microsoft YaHei UI"/>
          <w:color w:val="000000"/>
          <w:sz w:val="32"/>
        </w:rPr>
        <w:t>年一遇的防洪堤从外坡堤脚算起每侧</w:t>
      </w:r>
      <w:r>
        <w:rPr>
          <w:rStyle w:val="C3"/>
          <w:rFonts w:ascii="仿宋_GB2312" w:hAnsi="仿宋_GB2312"/>
          <w:color w:val="000000"/>
          <w:sz w:val="32"/>
        </w:rPr>
        <w:t>10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（三）灌区、水电站</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、灌溉排水干渠的渠坡坡脚外</w:t>
      </w:r>
      <w:r>
        <w:rPr>
          <w:rStyle w:val="C3"/>
          <w:rFonts w:ascii="仿宋_GB2312" w:hAnsi="仿宋_GB2312"/>
          <w:color w:val="000000"/>
          <w:sz w:val="32"/>
        </w:rPr>
        <w:t>1</w:t>
      </w:r>
      <w:r>
        <w:rPr>
          <w:rStyle w:val="C3"/>
          <w:rFonts w:ascii="Microsoft YaHei UI" w:hAnsi="Microsoft YaHei UI"/>
          <w:color w:val="000000"/>
          <w:sz w:val="32"/>
        </w:rPr>
        <w:t>至</w:t>
      </w:r>
      <w:r>
        <w:rPr>
          <w:rStyle w:val="C3"/>
          <w:rFonts w:ascii="仿宋_GB2312" w:hAnsi="仿宋_GB2312"/>
          <w:color w:val="000000"/>
          <w:sz w:val="32"/>
        </w:rPr>
        <w:t>3</w:t>
      </w:r>
      <w:r>
        <w:rPr>
          <w:rStyle w:val="C3"/>
          <w:rFonts w:ascii="Microsoft YaHei UI" w:hAnsi="Microsoft YaHei UI"/>
          <w:color w:val="000000"/>
          <w:sz w:val="32"/>
        </w:rPr>
        <w:t>米为管理范围，此范围外</w:t>
      </w:r>
      <w:r>
        <w:rPr>
          <w:rStyle w:val="C3"/>
          <w:rFonts w:ascii="仿宋_GB2312" w:hAnsi="仿宋_GB2312"/>
          <w:color w:val="000000"/>
          <w:sz w:val="32"/>
        </w:rPr>
        <w:t>5</w:t>
      </w:r>
      <w:r>
        <w:rPr>
          <w:rStyle w:val="C3"/>
          <w:rFonts w:ascii="Microsoft YaHei UI" w:hAnsi="Microsoft YaHei UI"/>
          <w:color w:val="000000"/>
          <w:sz w:val="32"/>
        </w:rPr>
        <w:t>至</w:t>
      </w:r>
      <w:r>
        <w:rPr>
          <w:rStyle w:val="C3"/>
          <w:rFonts w:ascii="仿宋_GB2312" w:hAnsi="仿宋_GB2312"/>
          <w:color w:val="000000"/>
          <w:sz w:val="32"/>
        </w:rPr>
        <w:t>10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、挡水、泄水、引水、提水设施和水电站等水利工程建筑物的管理范围为工程边线以外</w:t>
      </w:r>
      <w:r>
        <w:rPr>
          <w:rStyle w:val="C3"/>
          <w:rFonts w:ascii="仿宋_GB2312" w:hAnsi="仿宋_GB2312"/>
          <w:color w:val="000000"/>
          <w:sz w:val="32"/>
        </w:rPr>
        <w:t>5</w:t>
      </w:r>
      <w:r>
        <w:rPr>
          <w:rStyle w:val="C3"/>
          <w:rFonts w:ascii="Microsoft YaHei UI" w:hAnsi="Microsoft YaHei UI"/>
          <w:color w:val="000000"/>
          <w:sz w:val="32"/>
        </w:rPr>
        <w:t>至</w:t>
      </w:r>
      <w:r>
        <w:rPr>
          <w:rStyle w:val="C3"/>
          <w:rFonts w:ascii="仿宋_GB2312" w:hAnsi="仿宋_GB2312"/>
          <w:color w:val="000000"/>
          <w:sz w:val="32"/>
        </w:rPr>
        <w:t>10</w:t>
      </w:r>
      <w:r>
        <w:rPr>
          <w:rStyle w:val="C3"/>
          <w:rFonts w:ascii="Microsoft YaHei UI" w:hAnsi="Microsoft YaHei UI"/>
          <w:color w:val="000000"/>
          <w:sz w:val="32"/>
        </w:rPr>
        <w:t>米，此范围外</w:t>
      </w:r>
      <w:r>
        <w:rPr>
          <w:rStyle w:val="C3"/>
          <w:rFonts w:ascii="仿宋_GB2312" w:hAnsi="仿宋_GB2312"/>
          <w:color w:val="000000"/>
          <w:sz w:val="32"/>
        </w:rPr>
        <w:t>20</w:t>
      </w:r>
      <w:r>
        <w:rPr>
          <w:rStyle w:val="C3"/>
          <w:rFonts w:ascii="Microsoft YaHei UI" w:hAnsi="Microsoft YaHei UI"/>
          <w:color w:val="000000"/>
          <w:sz w:val="32"/>
        </w:rPr>
        <w:t>米为保护范围；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（四）水利工程的生产、生活区的管理范围，按照不少于房屋建筑面积的</w:t>
      </w:r>
      <w:r>
        <w:rPr>
          <w:rStyle w:val="C3"/>
          <w:rFonts w:ascii="仿宋_GB2312" w:hAnsi="仿宋_GB2312"/>
          <w:color w:val="000000"/>
          <w:sz w:val="32"/>
        </w:rPr>
        <w:t>2</w:t>
      </w:r>
      <w:r>
        <w:rPr>
          <w:rStyle w:val="C3"/>
          <w:rFonts w:ascii="Microsoft YaHei UI" w:hAnsi="Microsoft YaHei UI"/>
          <w:color w:val="000000"/>
          <w:sz w:val="32"/>
        </w:rPr>
        <w:t>倍划定。</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划定水利工程的管理、保护范围：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新建水利工程的管理和保护范围，由工程所在地县级以上人民政府按照本条例第十九条规定划定。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原有水利工程的管理和保护范围已经划定的，维持现状；尚未划定的</w:t>
      </w:r>
      <w:r>
        <w:rPr>
          <w:rStyle w:val="C3"/>
          <w:rFonts w:ascii="仿宋_GB2312" w:hAnsi="仿宋_GB2312"/>
          <w:color w:val="000000"/>
          <w:sz w:val="32"/>
        </w:rPr>
        <w:t>,</w:t>
      </w:r>
      <w:r>
        <w:rPr>
          <w:rStyle w:val="C3"/>
          <w:rFonts w:ascii="Microsoft YaHei UI" w:hAnsi="Microsoft YaHei UI"/>
          <w:color w:val="000000"/>
          <w:sz w:val="32"/>
        </w:rPr>
        <w:t>依据施工时的征地范围和历史形成的边界，由上一级人民政府水行政主管部门与工程所在地县级以上人民政府协商划定。</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划定为管理范围以内的土地应当依法办理征地手续。</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划定的管理和保护范围由水利工程所在地人民政府明确边界、设立标志。</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划定水利工程管理和保护范围涉及军事设施的，按照国家有关法律法规的规定执行。</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国家所有的水利工程管理范围内的土地使用权属于工程管理单位，其管理范围内的土地需要变更使用权的，由工程管理单位提出申请，按国家有关规定办理土地使用权变更手续；堤防、渠道管理范围内土地及土地上的附着物的所有权和使用权维持原状不变。</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水利工程保护范围内的土地所有权和使用权不变，使用时不得危害水利工程安全。</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确需在水利工程管理范围内兴建建设项目，建设单位应当事先征求工程管理单位的意见，并报经有管辖权的人民政府水行政主管部门审查同意。工程竣工后，人民政府水行政主管部门应当参加验收。</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国民经济和社会发展规划以及城市总体规划的编制、重大建设项目的布局，应当与当地水资源条件和防洪要求相适应，并进行科学论证。</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在堤防工程管理范围内，经科学论证严重影响工程安全、行洪安全、抗洪抢险的设施，由工程所在地县级以上人民政府组织防汛主管部门和有关部门划定清障边线，由设障单位在规定的期限内负责清除，保证行洪安全和抗洪抢险通道的畅通。</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任何单位和个人不得在水利工程管理范围内从事下列活动：</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（一）爆破、打井、开采砂石、取土、围垦种植、建池养殖等危及水利工程安全的活动；</w:t>
      </w:r>
      <w:r>
        <w:rPr>
          <w:rStyle w:val="C3"/>
          <w:rFonts w:ascii="仿宋_GB2312" w:hAnsi="仿宋_GB2312"/>
          <w:color w:val="000000"/>
          <w:sz w:val="32"/>
        </w:rPr>
        <w:t xml:space="preserve"> </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（二）构建建筑物，倾倒垃圾、废渣、有毒有害污水和废弃物，堆放、掩埋污染水体的物体，清洗有毒、污染物的车辆、容器；</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（三）毁损堤坝、涵闸、水电站、渠道等水利工程建筑物及水文观测、通讯、照明、交通等附属设施；</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（四）在坝顶、堤顶、水闸交通桥行驶履带式机械、硬轮车和超重车辆，在工程设计未考虑交通运输功能的坝顶、堤顶行驶机动车辆；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（五）在报汛、通讯线路上搭接广播电视线等；</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（六）非管理人员操作闸门和其他蓄水、引水、输水、配水设施，挖渠破闸，拦渠堵水，强行取水；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（七）超过限制水位蓄水，或者擅自放水，影响水利工程的正常运行或者安全蓄水。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在水利工程保护范围内确需从事取水、钻探、采矿等作业的，必须经人民政府水行政主管部门或者其授权的管理单位批准，并按批准的范围和作业方式进行。</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第四章  工程运营</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水利工程管理单位分为公益性和非公益性两类。</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防洪、灌溉、治涝、水资源保护、水土保持等公益性水利工程，其所需管理人员经费、维修养护经费及更新改造费用纳入同级政府财政预算。</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供水、发电经营、水产养殖、水利旅游等非公益性水利工程，其所需的管理人员经费、维修养护经费及更新改造费用由该工程的权益所有者负担。</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公益性水利工程的管理单位不得从事经营活动；非公益性水利工程的管理单位，在确保工程安全和生态环境保护的前提下，可以利用水利工程的资源、设备、技术等优势，开展供水、发电、养殖、种植、旅游等多种经营。</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公益性水利工程的非经营收入，实行收支两条线管理。</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非公益性水利工程经营收入的百分之六十应当作为以水养水资金，专户存储，专款专用。</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水利工程管理单位开展供水经营，应当坚持优先满足生活用水，保证生态用水、兼顾工业和其他用水的原则，实行统一调度、统一配给水量。</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水利工程管理单位可以按照国家和自治区有关规定，向用水单位和个人计收水费。</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在确保水利工程安全及其功能不变和资产保值增值的前提下，对国家所有的经营性水利工程可以实行股份合作经营；对国家和集体所有的小型水利工程可以实行承包、租赁或者拍卖。</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集体所有的小型水利工程进行承包、租赁、拍卖，应当坚持群众自愿和公开、公正、公平的原则；国家所有的小型水利工程，由县级以上人民政府水行政主管部门按照国有资产管理规定发包、出租、拍卖。</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集体所有的水利工程的拍卖回收资金，应当专户存储，专门用于当地小型水利工程的维修、管理和养护；国家所有的水利工程的拍卖回收资金，应当纳入水利建设基金管理，用于当地水利工程建设。</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第五章  法律责任</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违反本条例第十条第一款、第二十二条规定的，由县级以上人民政府水行政主管部门责令其停止违法行为，采取补救措施，可以并处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元以下的罚款。</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违反本条例第十八条规定，擅自改变调度计划或者阻碍计划实施的，由县级以上人民政府水行政主管部门予以警告，责令采取补救措施，可以并处</w:t>
      </w:r>
      <w:r>
        <w:rPr>
          <w:rStyle w:val="C3"/>
          <w:rFonts w:ascii="仿宋_GB2312" w:hAnsi="仿宋_GB2312"/>
          <w:color w:val="000000"/>
          <w:sz w:val="32"/>
        </w:rPr>
        <w:t>1000</w:t>
      </w:r>
      <w:r>
        <w:rPr>
          <w:rStyle w:val="C3"/>
          <w:rFonts w:ascii="Microsoft YaHei UI" w:hAnsi="Microsoft YaHei UI"/>
          <w:color w:val="000000"/>
          <w:sz w:val="32"/>
        </w:rPr>
        <w:t>元的罚款。</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有本条例第二十五条第（一）项、第（二）项、第（三）项所列行为之一的，由县级以上人民政府水行政主管部门责令其停止违法行为，采取清除障碍等补救措施，可以并处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10000</w:t>
      </w:r>
      <w:r>
        <w:rPr>
          <w:rStyle w:val="C3"/>
          <w:rFonts w:ascii="Microsoft YaHei UI" w:hAnsi="Microsoft YaHei UI"/>
          <w:color w:val="000000"/>
          <w:sz w:val="32"/>
        </w:rPr>
        <w:t>元以下的罚款。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本条例第二十五条第（四）项、第（五）项、第（六）项、第（七）项所列行为之一的，以及不按照批准范围和作业方式在工程保护范围内从事取水、钻探、采矿等作业的，由县级以上人民政府水行政主管部门责令其停止违法行为，可以并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截留、挪用、贪污水利工程建设费用、维修养护经费，水费，水利工程补偿、赔偿费，水利工程承包、租赁费和拍卖资金的，由上一级人民政府水行政主管部门责令退赔，并依法追究单位和个人的行政责任；构成犯罪的，依法追究刑事责任。</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阻挠、殴打依法执行工程管理职责的水利工程管理人员，蓄意制造水事纠纷，迫使水利工程管理人员改变工程设施的控制运行方案，拒绝执行防汛救灾命令的，对直接责任人员及肇事人员，依照治安管理处罚法的规定处罚；构成犯罪的，依法追究刑事责任。</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人民政府水行政主管部门和水利工程管理单位的工作人员玩忽职守、滥用职权、徇私舞弊的，由其所在单位或者上级主管机关给予行政处分；构成犯罪的，依法追究刑事责任。</w:t>
      </w: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当事人对行政处罚决定不服的，可以依法申请行政复议或者向人民法院提起行政诉讼。当事人逾期不申请复议或者不向人民法院起诉又不履行处罚决定的，由作出具体处罚决定的机关申请人民法院强制执行。</w:t>
      </w:r>
    </w:p>
    <w:p>
      <w:pPr>
        <w:pStyle w:val="P1"/>
        <w:shd w:val="clear" w:fill="FFFFFF"/>
        <w:spacing w:lineRule="exact" w:line="576"/>
        <w:ind w:firstLine="640"/>
        <w:rPr>
          <w:rStyle w:val="C3"/>
          <w:rFonts w:ascii="仿宋_GB2312" w:hAnsi="仿宋_GB2312"/>
          <w:color w:val="000000"/>
          <w:sz w:val="32"/>
        </w:rPr>
      </w:pPr>
    </w:p>
    <w:p>
      <w:pPr>
        <w:pStyle w:val="P1"/>
        <w:shd w:val="clear" w:fill="FFFFFF"/>
        <w:spacing w:lineRule="exact" w:line="576"/>
        <w:jc w:val="center"/>
        <w:rPr>
          <w:rStyle w:val="C3"/>
          <w:rFonts w:ascii="黑体" w:hAnsi="黑体"/>
          <w:color w:val="000000"/>
          <w:sz w:val="32"/>
        </w:rPr>
      </w:pPr>
      <w:r>
        <w:rPr>
          <w:rStyle w:val="C3"/>
          <w:rFonts w:ascii="黑体" w:hAnsi="黑体"/>
          <w:color w:val="000000"/>
          <w:sz w:val="32"/>
        </w:rPr>
        <w:t xml:space="preserve">第六章  附则</w:t>
      </w:r>
    </w:p>
    <w:p>
      <w:pPr>
        <w:pStyle w:val="P1"/>
        <w:shd w:val="clear" w:fill="FFFFFF"/>
        <w:spacing w:lineRule="exact" w:line="576"/>
        <w:ind w:firstLine="640"/>
        <w:rPr>
          <w:rStyle w:val="C3"/>
          <w:rFonts w:ascii="黑体" w:hAnsi="黑体"/>
          <w:color w:val="000000"/>
          <w:sz w:val="32"/>
        </w:rPr>
      </w:pPr>
    </w:p>
    <w:p>
      <w:pPr>
        <w:pStyle w:val="P1"/>
        <w:shd w:val="clear" w:fill="FFFFFF"/>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本条例自</w:t>
      </w:r>
      <w:r>
        <w:rPr>
          <w:rStyle w:val="C3"/>
          <w:rFonts w:ascii="仿宋_GB2312" w:hAnsi="仿宋_GB2312"/>
          <w:color w:val="000000"/>
          <w:sz w:val="32"/>
        </w:rPr>
        <w:t>2007</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2"/>
    <w:rPr>
      <w:sz w:val="18"/>
    </w:rPr>
  </w:style>
  <w:style w:type="character" w:styleId="C5">
    <w:name w:val="页脚 Char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2016-03-09T07:51:00Z</dcterms:created>
  <cp:lastModifiedBy>f1TZOF\f1TZOF-</cp:lastModifiedBy>
  <dcterms:modified xsi:type="dcterms:W3CDTF">2024-08-28T01:36:49Z</dcterms:modified>
  <cp:revision>2</cp:revision>
  <dc:title>西藏自治区水利工程管理条例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