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618B5A" Type="http://schemas.openxmlformats.org/officeDocument/2006/relationships/officeDocument" Target="/word/document.xml" /><Relationship Id="coreR7A618B5A" Type="http://schemas.openxmlformats.org/package/2006/relationships/metadata/core-properties" Target="/docProps/core.xml" /><Relationship Id="customR7A618B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before="0" w:after="0" w:beforeAutospacing="0" w:afterAutospacing="0"/>
        <w:contextualSpacing w:val="1"/>
        <w:jc w:val="center"/>
        <w:rPr>
          <w:rStyle w:val="C3"/>
          <w:rFonts w:ascii="方正小标宋简体" w:hAnsi="方正小标宋简体"/>
          <w:sz w:val="32"/>
        </w:rPr>
      </w:pPr>
    </w:p>
    <w:p>
      <w:pPr>
        <w:pStyle w:val="P13"/>
        <w:spacing w:lineRule="exact" w:line="560" w:before="0" w:after="0" w:beforeAutospacing="0" w:afterAutospacing="0"/>
        <w:contextualSpacing w:val="1"/>
        <w:jc w:val="center"/>
        <w:rPr>
          <w:rStyle w:val="C3"/>
          <w:sz w:val="44"/>
        </w:rPr>
      </w:pPr>
      <w:r>
        <w:rPr>
          <w:rStyle w:val="C3"/>
          <w:sz w:val="44"/>
        </w:rPr>
        <w:t>天津市人民代表大会常务委员会</w:t>
      </w:r>
    </w:p>
    <w:p>
      <w:pPr>
        <w:pStyle w:val="P13"/>
        <w:spacing w:lineRule="exact" w:line="560" w:before="0" w:after="0" w:beforeAutospacing="0" w:afterAutospacing="0"/>
        <w:contextualSpacing w:val="1"/>
        <w:jc w:val="center"/>
        <w:rPr>
          <w:rStyle w:val="C3"/>
          <w:sz w:val="44"/>
        </w:rPr>
      </w:pPr>
      <w:r>
        <w:rPr>
          <w:rStyle w:val="C3"/>
          <w:sz w:val="44"/>
        </w:rPr>
        <w:t>和区县人民代表大会常务委员会</w:t>
      </w:r>
    </w:p>
    <w:p>
      <w:pPr>
        <w:pStyle w:val="P13"/>
        <w:spacing w:lineRule="exact" w:line="560" w:before="0" w:after="0" w:beforeAutospacing="0" w:afterAutospacing="0"/>
        <w:contextualSpacing w:val="1"/>
        <w:jc w:val="center"/>
        <w:rPr>
          <w:rStyle w:val="C3"/>
          <w:sz w:val="44"/>
        </w:rPr>
      </w:pPr>
      <w:r>
        <w:rPr>
          <w:rStyle w:val="C3"/>
          <w:sz w:val="44"/>
        </w:rPr>
        <w:t>听取和审议专项工作报告办法</w:t>
      </w:r>
    </w:p>
    <w:p>
      <w:pPr>
        <w:pStyle w:val="P13"/>
        <w:spacing w:lineRule="exact" w:line="560" w:before="0" w:after="0" w:beforeAutospacing="0" w:afterAutospacing="0"/>
        <w:contextualSpacing w:val="1"/>
        <w:jc w:val="center"/>
        <w:rPr>
          <w:rStyle w:val="C3"/>
          <w:rFonts w:ascii="方正小标宋简体" w:hAnsi="方正小标宋简体"/>
          <w:sz w:val="44"/>
        </w:rPr>
      </w:pPr>
    </w:p>
    <w:p>
      <w:pPr>
        <w:pStyle w:val="P13"/>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日天津市第十五届人民代表大会常务委员会第五次会议通过）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为了保障市和区、县人民代表大会常务委员会（以下简称人大常委会）依法行使听取和审议本级人民政府、人民法院和人民检察院专项工作报告的职权，提高审议质量，增强监督实效，根据《</w:t>
      </w:r>
      <w:r>
        <w:rPr>
          <w:rStyle w:val="C3"/>
          <w:rFonts w:ascii="仿宋_GB2312" w:hAnsi="仿宋_GB2312"/>
        </w:rPr>
        <w:fldChar w:fldCharType="begin"/>
      </w:r>
      <w:r>
        <w:instrText>HYPERLINK "javascript:SLC(78894,0)"</w:instrText>
      </w:r>
      <w:r>
        <w:fldChar w:fldCharType="separate"/>
      </w:r>
      <w:r>
        <w:rPr>
          <w:rFonts w:ascii="方正姚体" w:hAnsi="方正姚体"/>
        </w:rPr>
        <w:t>中华人民共和国各级人民代表大会常务委员会监督法</w:t>
      </w:r>
      <w:r>
        <w:fldChar w:fldCharType="end"/>
      </w:r>
      <w:r>
        <w:rPr>
          <w:rStyle w:val="C3"/>
          <w:rFonts w:ascii="Microsoft YaHei UI" w:hAnsi="Microsoft YaHei UI"/>
        </w:rPr>
        <w:t>》及有关法律，结合本市实际，制定本办法。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人大常委会每年选择若干关系本行政区域改革发展稳定大局和人民群众切身利益、社会普遍关注的重大问题，有计划地安排听取和审议本级人民政府、人民法院和人民检察院的专项工作报告。</w:t>
      </w:r>
    </w:p>
    <w:p>
      <w:pPr>
        <w:pStyle w:val="P1"/>
        <w:spacing w:lineRule="exact" w:line="560"/>
        <w:contextualSpacing w:val="1"/>
        <w:rPr>
          <w:rStyle w:val="C3"/>
          <w:rFonts w:ascii="仿宋_GB2312" w:hAnsi="仿宋_GB2312"/>
        </w:rPr>
      </w:pPr>
      <w:r>
        <w:rPr>
          <w:rStyle w:val="C3"/>
          <w:rFonts w:ascii="Microsoft YaHei UI" w:hAnsi="Microsoft YaHei UI"/>
        </w:rPr>
        <w:t>　　听取和审议专项工作报告，应当实事求是地反映人民群众的意见和要求，客观全面地评价人民政府、人民法院和人民检察院的工作。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人大常委会听取和审议专项工作报告的议题，由市人民代表大会专门委员会（以下简称专门委员会）或者人大常委会工作机构，按照职责分工，根据下列途径反映的问题提出议题建议：</w:t>
      </w:r>
    </w:p>
    <w:p>
      <w:pPr>
        <w:pStyle w:val="P1"/>
        <w:spacing w:lineRule="exact" w:line="560"/>
        <w:contextualSpacing w:val="1"/>
        <w:rPr>
          <w:rStyle w:val="C3"/>
          <w:rFonts w:ascii="仿宋_GB2312" w:hAnsi="仿宋_GB2312"/>
        </w:rPr>
      </w:pPr>
      <w:r>
        <w:rPr>
          <w:rStyle w:val="C3"/>
          <w:rFonts w:ascii="Microsoft YaHei UI" w:hAnsi="Microsoft YaHei UI"/>
        </w:rPr>
        <w:t>　　（一）人大常委会在执法检查中发现的突出问题；</w:t>
      </w:r>
    </w:p>
    <w:p>
      <w:pPr>
        <w:pStyle w:val="P1"/>
        <w:spacing w:lineRule="exact" w:line="560"/>
        <w:contextualSpacing w:val="1"/>
        <w:rPr>
          <w:rStyle w:val="C3"/>
          <w:rFonts w:ascii="仿宋_GB2312" w:hAnsi="仿宋_GB2312"/>
        </w:rPr>
      </w:pPr>
      <w:r>
        <w:rPr>
          <w:rStyle w:val="C3"/>
          <w:rFonts w:ascii="Microsoft YaHei UI" w:hAnsi="Microsoft YaHei UI"/>
        </w:rPr>
        <w:t>　　（二）人民代表大会代表对人民政府、人民法院和人民检察院工作提出的建议、批评和意见集中反映的问题；</w:t>
      </w:r>
    </w:p>
    <w:p>
      <w:pPr>
        <w:pStyle w:val="P1"/>
        <w:spacing w:lineRule="exact" w:line="560"/>
        <w:contextualSpacing w:val="1"/>
        <w:rPr>
          <w:rStyle w:val="C3"/>
          <w:rFonts w:ascii="仿宋_GB2312" w:hAnsi="仿宋_GB2312"/>
        </w:rPr>
      </w:pPr>
      <w:r>
        <w:rPr>
          <w:rStyle w:val="C3"/>
          <w:rFonts w:ascii="Microsoft YaHei UI" w:hAnsi="Microsoft YaHei UI"/>
        </w:rPr>
        <w:t>　　（三）人大常委会组成人员提出的比较集中的问题；</w:t>
      </w:r>
    </w:p>
    <w:p>
      <w:pPr>
        <w:pStyle w:val="P1"/>
        <w:spacing w:lineRule="exact" w:line="560"/>
        <w:contextualSpacing w:val="1"/>
        <w:rPr>
          <w:rStyle w:val="C3"/>
          <w:rFonts w:ascii="仿宋_GB2312" w:hAnsi="仿宋_GB2312"/>
        </w:rPr>
      </w:pPr>
      <w:r>
        <w:rPr>
          <w:rStyle w:val="C3"/>
          <w:rFonts w:ascii="Microsoft YaHei UI" w:hAnsi="Microsoft YaHei UI"/>
        </w:rPr>
        <w:t>　　（四）专门委员会、人大常委会工作机构在调查研究中发现的突出问题；</w:t>
      </w:r>
    </w:p>
    <w:p>
      <w:pPr>
        <w:pStyle w:val="P1"/>
        <w:spacing w:lineRule="exact" w:line="560"/>
        <w:contextualSpacing w:val="1"/>
        <w:rPr>
          <w:rStyle w:val="C3"/>
          <w:rFonts w:ascii="仿宋_GB2312" w:hAnsi="仿宋_GB2312"/>
        </w:rPr>
      </w:pPr>
      <w:r>
        <w:rPr>
          <w:rStyle w:val="C3"/>
          <w:rFonts w:ascii="Microsoft YaHei UI" w:hAnsi="Microsoft YaHei UI"/>
        </w:rPr>
        <w:t>　　（五）人民群众来信来访集中反映的问题；</w:t>
      </w:r>
    </w:p>
    <w:p>
      <w:pPr>
        <w:pStyle w:val="P1"/>
        <w:spacing w:lineRule="exact" w:line="560"/>
        <w:contextualSpacing w:val="1"/>
        <w:rPr>
          <w:rStyle w:val="C3"/>
          <w:rFonts w:ascii="仿宋_GB2312" w:hAnsi="仿宋_GB2312"/>
        </w:rPr>
      </w:pPr>
      <w:r>
        <w:rPr>
          <w:rStyle w:val="C3"/>
          <w:rFonts w:ascii="Microsoft YaHei UI" w:hAnsi="Microsoft YaHei UI"/>
        </w:rPr>
        <w:t>　　（六）社会普遍关注的其他问题。</w:t>
      </w:r>
    </w:p>
    <w:p>
      <w:pPr>
        <w:pStyle w:val="P1"/>
        <w:spacing w:lineRule="exact" w:line="560"/>
        <w:contextualSpacing w:val="1"/>
        <w:rPr>
          <w:rStyle w:val="C3"/>
          <w:rFonts w:ascii="仿宋_GB2312" w:hAnsi="仿宋_GB2312"/>
        </w:rPr>
      </w:pPr>
      <w:r>
        <w:rPr>
          <w:rStyle w:val="C3"/>
          <w:rFonts w:ascii="Microsoft YaHei UI" w:hAnsi="Microsoft YaHei UI"/>
        </w:rPr>
        <w:t>　　人民政府、人民法院和人民检察院可以向本级人大常委会要求报告专项工作。</w:t>
      </w:r>
    </w:p>
    <w:p>
      <w:pPr>
        <w:pStyle w:val="P1"/>
        <w:spacing w:lineRule="exact" w:line="560"/>
        <w:contextualSpacing w:val="1"/>
        <w:rPr>
          <w:rStyle w:val="C3"/>
          <w:rFonts w:ascii="仿宋_GB2312" w:hAnsi="仿宋_GB2312"/>
        </w:rPr>
      </w:pPr>
      <w:r>
        <w:rPr>
          <w:rStyle w:val="C3"/>
          <w:rFonts w:ascii="Microsoft YaHei UI" w:hAnsi="Microsoft YaHei UI"/>
        </w:rPr>
        <w:t>　　专门委员会、人大常委会工作机构应当于每年年底前，提出下一年度人大常委会听取和审议专项工作报告的议题建议。</w:t>
      </w:r>
    </w:p>
    <w:p>
      <w:pPr>
        <w:pStyle w:val="P1"/>
        <w:spacing w:lineRule="exact" w:line="560"/>
        <w:contextualSpacing w:val="1"/>
        <w:rPr>
          <w:rStyle w:val="C3"/>
          <w:rFonts w:ascii="仿宋_GB2312" w:hAnsi="仿宋_GB2312"/>
        </w:rPr>
      </w:pPr>
      <w:r>
        <w:rPr>
          <w:rStyle w:val="C3"/>
          <w:rFonts w:ascii="Microsoft YaHei UI" w:hAnsi="Microsoft YaHei UI"/>
        </w:rPr>
        <w:t>　　专门委员会、人大常委会工作机构提出议题建议前，应当同本级人民政府、人民法院和人民检察院有关部门沟通协商，交换意见。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人大常委会办公厅（室）按照统筹兼顾的原则，着眼于经济建设、政治建设、文化建设、社会建设各方面，经与提出专项工作报告议题建议的专门委员会或者人大常委会工作机构充分协商、科学论证、综合平衡后，提出人大常委会听取和审议专项工作报告的年度计划草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人大常委会听取和审议专项工作报告的年度计划草案，经主任会议审议通过后，印发本级人大常委会组成人员和人大代表，通报本级人民政府、人民法院和人民检察院，并向社会公布。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主任会议根据工作需要或者人民政府、人民法院和人民检察院的要求，可以对人大常委会听取和审议专项工作报告的年度计划作个别调整。年度计划作个别调整的，应当及时通知有关机关。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人大常委会听取和审议专项工作报告前，主任会议可以组织或者委托有关专门委员会、人大常委会工作机构组织本级人大常委会组成人员和本级人大代表，对有关工作进行视察或者专题调查研究；专门委员会和人大常委会工作机构也可以开展专题调查研究，或者通过其他形式了解有关情况、听取各方面的意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在人大常委会听取和审议专项工作报告的四十日前，人大常委会有关工作机构应当将各方面对该项工作的意见汇总，以书面形式交由本级人民政府、人民法院或者人民检察院研究。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人民政府、人民法院和人民检察院提出的专项工作报告应当包括工作的现状，取得的主要成绩，存在的主要问题及其原因，改进工作的主要措施等内容。</w:t>
      </w:r>
    </w:p>
    <w:p>
      <w:pPr>
        <w:pStyle w:val="P1"/>
        <w:spacing w:lineRule="exact" w:line="560"/>
        <w:contextualSpacing w:val="1"/>
        <w:rPr>
          <w:rStyle w:val="C3"/>
          <w:rFonts w:ascii="仿宋_GB2312" w:hAnsi="仿宋_GB2312"/>
        </w:rPr>
      </w:pPr>
      <w:r>
        <w:rPr>
          <w:rStyle w:val="C3"/>
          <w:rFonts w:ascii="Microsoft YaHei UI" w:hAnsi="Microsoft YaHei UI"/>
        </w:rPr>
        <w:t>　　专项工作报告对人大常委会工作机构汇总的意见，应当作出回应。</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人民政府、人民法院或者人民检察院应当在人大常委会举行会议的二十日前，由其办事机构将专项工作报告送交有关专门委员会或者人大常委会有关工作机构征求意见。有关专门委员会或者人大常委会有关工作机构应当在收到报告后的五日内提出意见并予以反馈。人民政府、人民法院或者人民检察院对报告进行修改后，在常委会举行会议的十日前送交人大常委会办公厅（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人民政府、人民法院或者人民检察院的专项工作报告，由有关专门委员会或者区、县人大常委会有关工作机构提出列入人大常委会会议议程的意见，主任会议决定列入人大常委会会议议程。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人大常委会应当召开全体会议听取专项工作报告。专项工作报告由人民政府、人民法院或者人民检察院的负责人向本级人大常委会报告，人民政府也可以委托有关部门负责人向本级人大常委会报告。</w:t>
      </w:r>
    </w:p>
    <w:p>
      <w:pPr>
        <w:pStyle w:val="P1"/>
        <w:spacing w:lineRule="exact" w:line="560"/>
        <w:contextualSpacing w:val="1"/>
        <w:rPr>
          <w:rStyle w:val="C3"/>
          <w:rFonts w:ascii="仿宋_GB2312" w:hAnsi="仿宋_GB2312"/>
        </w:rPr>
      </w:pPr>
      <w:r>
        <w:rPr>
          <w:rStyle w:val="C3"/>
          <w:rFonts w:ascii="Microsoft YaHei UI" w:hAnsi="Microsoft YaHei UI"/>
        </w:rPr>
        <w:t>　　人大常委会办公厅（室）应当将列入会议议程的专项工作报告，在举行会议的七日前，发给人大常委会组成人员。</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列入人大常委会会议议程的专项工作报告，由有关专门委员会或者人大常委会有关工作机构根据视察、调研情况提出意见，印发人大常委会会议。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人大常委会会议听取和审议专项工作报告，可以安排参加视察或者专题调查研究的人大代表列席会议，发表意见。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人大常委会听取和审议专项工作报告，人民政府或者有关部门、人民法院或者人民检察院应当派有关负责人员到会，听取意见，回答询问。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人大常委会组成人员对专项工作报告的审议意见，应当在人大常委会会议闭会后的七日内由人大常委会有关工作机构汇总、整理完毕。审议意见应当包括对专项工作报告的总体评价、存在的主要问题、改进工作的建议和报告研究处理情况的时限。必要时，人大常委会组成人员的审议发言记录，可以作为审议意见的附件。</w:t>
      </w:r>
    </w:p>
    <w:p>
      <w:pPr>
        <w:pStyle w:val="P1"/>
        <w:spacing w:lineRule="exact" w:line="560"/>
        <w:contextualSpacing w:val="1"/>
        <w:rPr>
          <w:rStyle w:val="C3"/>
          <w:rFonts w:ascii="仿宋_GB2312" w:hAnsi="仿宋_GB2312"/>
        </w:rPr>
      </w:pPr>
      <w:r>
        <w:rPr>
          <w:rStyle w:val="C3"/>
          <w:rFonts w:ascii="Microsoft YaHei UI" w:hAnsi="Microsoft YaHei UI"/>
        </w:rPr>
        <w:t>　　人大常委会组成人员的审议意见，由人大常委会办公厅（室）制发文件，送本级人民政府、人民法院或者人民检察院研究处理。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有关专门委员会或者人大常委会有关工作机构在审议意见送交后三个月内，应当了解人民政府、人民法院或者人民检察院研究处理的情况，进行跟踪督查，并督促人民政府、人民法院或者人民检察院按照审议意见规定的时限，将研究处理情况由其办事机构送交有关专门委员会或者人大常委会有关工作机构征求意见后，向人大常委会提出书面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主任会议可以就专项工作报告提出决议草案；有关专门委员会也可以就专项工作报告提出决议草案，经主任会议决定，提请人大常委会会议审议。</w:t>
      </w:r>
    </w:p>
    <w:p>
      <w:pPr>
        <w:pStyle w:val="P1"/>
        <w:spacing w:lineRule="exact" w:line="560"/>
        <w:contextualSpacing w:val="1"/>
        <w:rPr>
          <w:rStyle w:val="C3"/>
          <w:rFonts w:ascii="仿宋_GB2312" w:hAnsi="仿宋_GB2312"/>
        </w:rPr>
      </w:pPr>
      <w:r>
        <w:rPr>
          <w:rStyle w:val="C3"/>
          <w:rFonts w:ascii="Microsoft YaHei UI" w:hAnsi="Microsoft YaHei UI"/>
        </w:rPr>
        <w:t>　　人民政府、人民法院或者人民检察院应当在决议规定的期限内，将执行决议的情况向人大常委会报告。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人民政府、人民法院或者人民检察院因特殊原因不能在规定时限送交研究处理情况报告或者决议执行情况报告，应当向人大常委会作出书面说明。</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人大常委会组成人员对人民政府、人民法院或者人民检察院研究处理情况不满意，可以依法提出询问或者质询。</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人大常委会听取的专项工作报告、审议意见和作出的决议，人民政府、人民法院或者人民检察院对审议意见研究处理情况或者执行决议情况的报告，向本级人大代表通报，通过人大常委会公报、网站或者其他媒体向社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区、县人大常委会可以根据本办法，制定具体工作程序。</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本办法自</w:t>
      </w:r>
      <w:r>
        <w:rPr>
          <w:rStyle w:val="C3"/>
          <w:rFonts w:ascii="仿宋_GB2312" w:hAnsi="仿宋_GB2312"/>
        </w:rPr>
        <w:t>2009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jc w:val="center"/>
        <w:rPr>
          <w:rStyle w:val="C3"/>
          <w:rFonts w:ascii="方正小标宋简体" w:hAnsi="方正小标宋简体"/>
          <w:sz w:val="44"/>
        </w:rPr>
      </w:pPr>
    </w:p>
    <w:p>
      <w:pPr>
        <w:pStyle w:val="P1"/>
        <w:spacing w:lineRule="exact" w:line="560"/>
        <w:ind w:firstLine="285"/>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正文文本缩进"/>
    <w:basedOn w:val="P1"/>
    <w:next w:val="P3"/>
    <w:link w:val="C13"/>
    <w:pPr>
      <w:spacing w:after="120"/>
      <w:ind w:left="420"/>
    </w:pPr>
    <w:rPr/>
  </w:style>
  <w:style w:type="paragraph" w:styleId="P4">
    <w:name w:val="msoplaintextcxspmiddle"/>
    <w:basedOn w:val="P1"/>
    <w:next w:val="P4"/>
    <w:pPr>
      <w:widowControl w:val="1"/>
      <w:spacing w:before="100" w:after="100" w:beforeAutospacing="1" w:afterAutospacing="1"/>
      <w:jc w:val="left"/>
    </w:pPr>
    <w:rPr>
      <w:rFonts w:ascii="宋体" w:hAnsi="宋体"/>
      <w:sz w:val="24"/>
    </w:rPr>
  </w:style>
  <w:style w:type="paragraph" w:styleId="P5">
    <w:name w:val="批注框文本"/>
    <w:basedOn w:val="P1"/>
    <w:next w:val="P5"/>
    <w:link w:val="C14"/>
    <w:pPr/>
    <w:rPr>
      <w:sz w:val="18"/>
    </w:rPr>
  </w:style>
  <w:style w:type="paragraph" w:styleId="P6">
    <w:name w:val="正文文本缩进 3"/>
    <w:basedOn w:val="P1"/>
    <w:next w:val="P6"/>
    <w:link w:val="C22"/>
    <w:pPr>
      <w:spacing w:after="120"/>
      <w:ind w:left="420"/>
    </w:pPr>
    <w:rPr>
      <w:sz w:val="16"/>
    </w:rPr>
  </w:style>
  <w:style w:type="paragraph" w:styleId="P7">
    <w:name w:val="页眉"/>
    <w:basedOn w:val="P1"/>
    <w:next w:val="P7"/>
    <w:link w:val="C23"/>
    <w:pPr>
      <w:pBdr>
        <w:bottom w:val="single" w:sz="6" w:space="0" w:shadow="0" w:frame="0"/>
      </w:pBdr>
      <w:tabs>
        <w:tab w:val="center" w:pos="4153" w:leader="none"/>
        <w:tab w:val="right" w:pos="8306" w:leader="none"/>
      </w:tabs>
      <w:jc w:val="center"/>
    </w:pPr>
    <w:rPr>
      <w:sz w:val="18"/>
    </w:rPr>
  </w:style>
  <w:style w:type="paragraph" w:styleId="P8">
    <w:name w:val="样式2"/>
    <w:basedOn w:val="P1"/>
    <w:next w:val="P8"/>
    <w:link w:val="C12"/>
    <w:pPr/>
    <w:rPr>
      <w:rFonts w:ascii="仿宋_GB2312" w:hAnsi="仿宋_GB2312"/>
      <w:b w:val="1"/>
      <w:color w:val="000000"/>
    </w:rPr>
  </w:style>
  <w:style w:type="paragraph" w:styleId="P9">
    <w:name w:val="纯文本"/>
    <w:basedOn w:val="P1"/>
    <w:next w:val="P9"/>
    <w:link w:val="C9"/>
    <w:pPr/>
    <w:rPr>
      <w:rFonts w:ascii="华文宋体" w:hAnsi="华文宋体"/>
    </w:rPr>
  </w:style>
  <w:style w:type="paragraph" w:styleId="P10">
    <w:name w:val="正文文本缩进 2"/>
    <w:basedOn w:val="P1"/>
    <w:next w:val="P10"/>
    <w:link w:val="C16"/>
    <w:pPr>
      <w:spacing w:lineRule="auto" w:line="480" w:after="120"/>
      <w:ind w:left="420"/>
    </w:pPr>
    <w:rPr/>
  </w:style>
  <w:style w:type="paragraph" w:styleId="P11">
    <w:name w:val="Char2"/>
    <w:basedOn w:val="P1"/>
    <w:next w:val="P11"/>
    <w:pPr/>
    <w:rPr>
      <w:rFonts w:ascii="Tahoma" w:hAnsi="Tahoma"/>
      <w:sz w:val="24"/>
    </w:rPr>
  </w:style>
  <w:style w:type="paragraph" w:styleId="P12">
    <w:name w:val="日期"/>
    <w:basedOn w:val="P1"/>
    <w:next w:val="P1"/>
    <w:pPr>
      <w:ind w:left="100"/>
    </w:pPr>
    <w:rPr>
      <w:rFonts w:ascii="仿宋_GB2312" w:hAnsi="仿宋_GB2312"/>
    </w:rPr>
  </w:style>
  <w:style w:type="paragraph" w:styleId="P13">
    <w:name w:val="普通(网站)"/>
    <w:basedOn w:val="P1"/>
    <w:next w:val="P13"/>
    <w:link w:val="C17"/>
    <w:pPr>
      <w:widowControl w:val="1"/>
      <w:spacing w:before="100" w:after="100" w:beforeAutospacing="1" w:afterAutospacing="1"/>
      <w:jc w:val="left"/>
    </w:pPr>
    <w:rPr>
      <w:rFonts w:ascii="宋体" w:hAnsi="宋体"/>
      <w:sz w:val="24"/>
    </w:rPr>
  </w:style>
  <w:style w:type="paragraph" w:styleId="P14">
    <w:name w:val="正文文本"/>
    <w:basedOn w:val="P1"/>
    <w:next w:val="P14"/>
    <w:link w:val="C20"/>
    <w:pPr/>
    <w:rPr/>
  </w:style>
  <w:style w:type="paragraph" w:styleId="P15">
    <w:name w:val="文档结构图"/>
    <w:basedOn w:val="P1"/>
    <w:next w:val="P15"/>
    <w:pPr>
      <w:shd w:val="clear" w:fill="00008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27"/>
    <w:pPr>
      <w:spacing w:lineRule="auto" w:line="480" w:after="120"/>
    </w:pPr>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
    <w:basedOn w:val="P1"/>
    <w:next w:val="P21"/>
    <w:pPr>
      <w:widowControl w:val="1"/>
      <w:spacing w:before="100" w:after="100" w:beforeAutospacing="1" w:afterAutospacing="1"/>
      <w:jc w:val="left"/>
    </w:pPr>
    <w:rPr>
      <w:rFonts w:ascii="宋体" w:hAnsi="宋体"/>
      <w:sz w:val="24"/>
    </w:rPr>
  </w:style>
  <w:style w:type="paragraph" w:styleId="P22">
    <w:name w:val="Char"/>
    <w:basedOn w:val="P1"/>
    <w:next w:val="P22"/>
    <w:pPr/>
    <w:rPr>
      <w:rFonts w:ascii="Tahoma" w:hAnsi="Tahoma"/>
      <w:sz w:val="24"/>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p16"/>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列出段落"/>
    <w:basedOn w:val="P1"/>
    <w:next w:val="P31"/>
    <w:qFormat/>
    <w:pPr>
      <w:ind w:firstLine="420"/>
    </w:pPr>
    <w:rPr>
      <w:sz w:val="21"/>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3"/>
    <w:pPr>
      <w:widowControl w:val="1"/>
      <w:spacing w:before="100" w:after="100" w:beforeAutospacing="1" w:afterAutospacing="1"/>
      <w:jc w:val="left"/>
    </w:pPr>
    <w:rPr>
      <w:rFonts w:ascii="Arial Unicode MS" w:hAnsi="Arial Unicode MS"/>
      <w:sz w:val="24"/>
    </w:rPr>
  </w:style>
  <w:style w:type="paragraph" w:styleId="P35">
    <w:name w:val="msonormalcxspmiddle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zhang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3"/>
    <w:basedOn w:val="P8"/>
    <w:next w:val="P41"/>
    <w:link w:val="C43"/>
    <w:qFormat/>
    <w:pPr/>
    <w:rPr/>
  </w:style>
  <w:style w:type="paragraph" w:styleId="P42">
    <w:name w:val="样式1"/>
    <w:basedOn w:val="P9"/>
    <w:next w:val="P42"/>
    <w:link w:val="C41"/>
    <w:qFormat/>
    <w:pPr>
      <w:ind w:firstLine="632"/>
    </w:pPr>
    <w:rPr>
      <w:rFonts w:ascii="楷体_GB2312" w:hAnsi="楷体_GB2312"/>
    </w:rPr>
  </w:style>
  <w:style w:type="paragraph" w:styleId="P43">
    <w:name w:val="标题3"/>
    <w:basedOn w:val="P9"/>
    <w:next w:val="P43"/>
    <w:link w:val="C42"/>
    <w:qFormat/>
    <w:pPr>
      <w:ind w:firstLine="632"/>
      <w:jc w:val="center"/>
    </w:pPr>
    <w:rPr>
      <w:rFonts w:ascii="黑体" w:hAnsi="黑体"/>
    </w:rPr>
  </w:style>
  <w:style w:type="paragraph" w:styleId="P44">
    <w:name w:val="标题1"/>
    <w:basedOn w:val="P13"/>
    <w:next w:val="P44"/>
    <w:link w:val="C48"/>
    <w:qFormat/>
    <w:pPr>
      <w:spacing w:lineRule="exact" w:line="600"/>
      <w:jc w:val="center"/>
    </w:pPr>
    <w:rPr>
      <w:rFonts w:ascii="方正小标宋简体" w:hAnsi="方正小标宋简体"/>
      <w:color w:val="000000"/>
      <w:sz w:val="32"/>
    </w:rPr>
  </w:style>
  <w:style w:type="paragraph" w:styleId="P45">
    <w:name w:val="标题2"/>
    <w:basedOn w:val="P13"/>
    <w:next w:val="P45"/>
    <w:link w:val="C46"/>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强调"/>
    <w:basedOn w:val="C3"/>
    <w:qFormat/>
    <w:rPr>
      <w:color w:val="CC0000"/>
    </w:rPr>
  </w:style>
  <w:style w:type="character" w:styleId="C6">
    <w:name w:val="页码"/>
    <w:basedOn w:val="C3"/>
    <w:rPr/>
  </w:style>
  <w:style w:type="character" w:styleId="C7">
    <w:name w:val="超链接"/>
    <w:basedOn w:val="C3"/>
    <w:rPr>
      <w:color w:val="0000FF"/>
      <w:u w:val="single"/>
    </w:rPr>
  </w:style>
  <w:style w:type="character" w:styleId="C8">
    <w:name w:val="纯文本 Char Char"/>
    <w:basedOn w:val="C3"/>
    <w:rPr>
      <w:rFonts w:ascii="宋体" w:hAnsi="宋体"/>
      <w:sz w:val="32"/>
    </w:rPr>
  </w:style>
  <w:style w:type="character" w:styleId="C9">
    <w:name w:val="纯文本 Char"/>
    <w:basedOn w:val="C3"/>
    <w:link w:val="P9"/>
    <w:rPr>
      <w:rFonts w:ascii="华文宋体" w:hAnsi="华文宋体"/>
    </w:rPr>
  </w:style>
  <w:style w:type="character" w:styleId="C10">
    <w:name w:val="正文文本 Char1"/>
    <w:basedOn w:val="C3"/>
    <w:rPr>
      <w:rFonts w:ascii="Times New Roman" w:hAnsi="Times New Roman"/>
      <w:sz w:val="32"/>
    </w:rPr>
  </w:style>
  <w:style w:type="character" w:styleId="C11">
    <w:name w:val="Char Char4"/>
    <w:basedOn w:val="C3"/>
    <w:rPr>
      <w:rFonts w:ascii="文星仿宋" w:hAnsi="文星仿宋"/>
      <w:sz w:val="32"/>
    </w:rPr>
  </w:style>
  <w:style w:type="character" w:styleId="C12">
    <w:name w:val="样式2 Char Char"/>
    <w:basedOn w:val="C3"/>
    <w:link w:val="P8"/>
    <w:rPr>
      <w:rFonts w:ascii="仿宋_GB2312" w:hAnsi="仿宋_GB2312"/>
      <w:b w:val="1"/>
      <w:color w:val="000000"/>
    </w:rPr>
  </w:style>
  <w:style w:type="character" w:styleId="C13">
    <w:name w:val="正文文本缩进 Char"/>
    <w:basedOn w:val="C3"/>
    <w:link w:val="P3"/>
    <w:rPr/>
  </w:style>
  <w:style w:type="character" w:styleId="C14">
    <w:name w:val="批注框文本 Char"/>
    <w:basedOn w:val="C3"/>
    <w:link w:val="P5"/>
    <w:rPr>
      <w:sz w:val="18"/>
    </w:rPr>
  </w:style>
  <w:style w:type="character" w:styleId="C15">
    <w:name w:val="纯文本 Char1"/>
    <w:basedOn w:val="C3"/>
    <w:rPr>
      <w:rFonts w:ascii="宋体" w:hAnsi="宋体"/>
      <w:sz w:val="21"/>
    </w:rPr>
  </w:style>
  <w:style w:type="character" w:styleId="C16">
    <w:name w:val="正文文本缩进 2 Char"/>
    <w:basedOn w:val="C3"/>
    <w:link w:val="P10"/>
    <w:rPr/>
  </w:style>
  <w:style w:type="character" w:styleId="C17">
    <w:name w:val="普通(网站) Char"/>
    <w:basedOn w:val="C3"/>
    <w:link w:val="P13"/>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4"/>
    <w:rPr/>
  </w:style>
  <w:style w:type="character" w:styleId="C21">
    <w:name w:val="test1"/>
    <w:basedOn w:val="C3"/>
    <w:rPr>
      <w:sz w:val="25"/>
    </w:rPr>
  </w:style>
  <w:style w:type="character" w:styleId="C22">
    <w:name w:val="正文文本缩进 3 Char"/>
    <w:basedOn w:val="C3"/>
    <w:link w:val="P6"/>
    <w:rPr>
      <w:sz w:val="16"/>
    </w:rPr>
  </w:style>
  <w:style w:type="character" w:styleId="C23">
    <w:name w:val="页眉 Char"/>
    <w:basedOn w:val="C3"/>
    <w:link w:val="P7"/>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7"/>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2"/>
    <w:rPr>
      <w:rFonts w:ascii="楷体_GB2312" w:hAnsi="楷体_GB2312"/>
    </w:rPr>
  </w:style>
  <w:style w:type="character" w:styleId="C42">
    <w:name w:val="标题3 Char Char"/>
    <w:basedOn w:val="C9"/>
    <w:link w:val="P43"/>
    <w:rPr>
      <w:rFonts w:ascii="黑体" w:hAnsi="黑体"/>
    </w:rPr>
  </w:style>
  <w:style w:type="character" w:styleId="C43">
    <w:name w:val="样式3 Char Char"/>
    <w:basedOn w:val="C12"/>
    <w:link w:val="P41"/>
    <w:rPr/>
  </w:style>
  <w:style w:type="character" w:styleId="C44">
    <w:name w:val="标题3 Char"/>
    <w:basedOn w:val="C15"/>
    <w:rPr>
      <w:rFonts w:ascii="黑体" w:hAnsi="黑体"/>
      <w:sz w:val="32"/>
    </w:rPr>
  </w:style>
  <w:style w:type="character" w:styleId="C45">
    <w:name w:val="样式1 Char"/>
    <w:basedOn w:val="C15"/>
    <w:rPr>
      <w:rFonts w:ascii="楷体_GB2312" w:hAnsi="楷体_GB2312"/>
      <w:sz w:val="32"/>
    </w:rPr>
  </w:style>
  <w:style w:type="character" w:styleId="C46">
    <w:name w:val="标题2 Char Char"/>
    <w:basedOn w:val="C17"/>
    <w:link w:val="P45"/>
    <w:rPr>
      <w:rFonts w:ascii="楷体_GB2312" w:hAnsi="楷体_GB2312"/>
      <w:color w:val="000000"/>
      <w:sz w:val="32"/>
    </w:rPr>
  </w:style>
  <w:style w:type="character" w:styleId="C47">
    <w:name w:val="标题1 Char"/>
    <w:basedOn w:val="C17"/>
    <w:rPr>
      <w:rFonts w:ascii="方正小标宋简体" w:hAnsi="方正小标宋简体"/>
      <w:color w:val="000000"/>
      <w:sz w:val="32"/>
    </w:rPr>
  </w:style>
  <w:style w:type="character" w:styleId="C48">
    <w:name w:val="标题1 Char Char"/>
    <w:basedOn w:val="C17"/>
    <w:link w:val="P44"/>
    <w:rPr>
      <w:rFonts w:ascii="方正小标宋简体" w:hAnsi="方正小标宋简体"/>
      <w:color w:val="000000"/>
      <w:sz w:val="32"/>
    </w:rPr>
  </w:style>
  <w:style w:type="character" w:styleId="C49">
    <w:name w:val="标题2 Char"/>
    <w:basedOn w:val="C17"/>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2024-08-28T01:36:50Z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