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2616B39" Type="http://schemas.openxmlformats.org/officeDocument/2006/relationships/officeDocument" Target="/word/document.xml" /><Relationship Id="coreR72616B39" Type="http://schemas.openxmlformats.org/package/2006/relationships/metadata/core-properties" Target="/docProps/core.xml" /><Relationship Id="customR72616B39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78"/>
        <w:ind w:firstLine="640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578"/>
        <w:ind w:firstLine="640"/>
        <w:rPr>
          <w:rStyle w:val="C3"/>
          <w:rFonts w:ascii="宋体" w:hAnsi="宋体"/>
          <w:sz w:val="32"/>
        </w:rPr>
      </w:pPr>
    </w:p>
    <w:p>
      <w:pPr>
        <w:pStyle w:val="P1"/>
        <w:spacing w:lineRule="exact" w:line="578"/>
        <w:jc w:val="center"/>
        <w:rPr>
          <w:rStyle w:val="C3"/>
          <w:rFonts w:ascii="仿宋_GB2312" w:hAnsi="仿宋_GB2312"/>
          <w:sz w:val="44"/>
        </w:rPr>
      </w:pPr>
      <w:r>
        <w:rPr>
          <w:rStyle w:val="C3"/>
          <w:rFonts w:ascii="宋体" w:hAnsi="宋体"/>
          <w:sz w:val="44"/>
        </w:rPr>
        <w:t>太原市企务公开办法</w:t>
      </w:r>
    </w:p>
    <w:p>
      <w:pPr>
        <w:pStyle w:val="P1"/>
        <w:spacing w:lineRule="exact" w:line="578"/>
        <w:ind w:right="42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78"/>
        <w:ind w:left="630" w:right="630"/>
        <w:rPr>
          <w:rStyle w:val="C3"/>
          <w:rFonts w:ascii="楷体_GB2312" w:hAnsi="楷体_GB2312"/>
          <w:sz w:val="32"/>
        </w:rPr>
      </w:pPr>
      <w:r>
        <w:rPr>
          <w:rStyle w:val="C3"/>
          <w:rFonts w:ascii="Microsoft YaHei UI" w:hAnsi="Microsoft YaHei UI"/>
          <w:sz w:val="32"/>
        </w:rPr>
        <w:t>（</w:t>
      </w:r>
      <w:r>
        <w:rPr>
          <w:rStyle w:val="C3"/>
          <w:rFonts w:ascii="楷体_GB2312" w:hAnsi="楷体_GB2312"/>
          <w:sz w:val="32"/>
        </w:rPr>
        <w:t>2000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26</w:t>
      </w:r>
      <w:r>
        <w:rPr>
          <w:rStyle w:val="C3"/>
          <w:rFonts w:ascii="Microsoft YaHei UI" w:hAnsi="Microsoft YaHei UI"/>
          <w:sz w:val="32"/>
        </w:rPr>
        <w:t>日太原市第十届人民代表大会常务委员会第二十八次会议通过　</w:t>
      </w:r>
      <w:r>
        <w:rPr>
          <w:rStyle w:val="C3"/>
          <w:rFonts w:ascii="楷体_GB2312" w:hAnsi="楷体_GB2312"/>
          <w:sz w:val="32"/>
        </w:rPr>
        <w:t>2001</w:t>
      </w:r>
      <w:r>
        <w:rPr>
          <w:rStyle w:val="C3"/>
          <w:rFonts w:ascii="Microsoft YaHei UI" w:hAnsi="Microsoft YaHei UI"/>
          <w:sz w:val="32"/>
        </w:rPr>
        <w:t>年</w:t>
      </w:r>
      <w:r>
        <w:rPr>
          <w:rStyle w:val="C3"/>
          <w:rFonts w:ascii="楷体_GB2312" w:hAnsi="楷体_GB2312"/>
          <w:sz w:val="32"/>
        </w:rPr>
        <w:t>1</w:t>
      </w:r>
      <w:r>
        <w:rPr>
          <w:rStyle w:val="C3"/>
          <w:rFonts w:ascii="Microsoft YaHei UI" w:hAnsi="Microsoft YaHei UI"/>
          <w:sz w:val="32"/>
        </w:rPr>
        <w:t>月</w:t>
      </w:r>
      <w:r>
        <w:rPr>
          <w:rStyle w:val="C3"/>
          <w:rFonts w:ascii="楷体_GB2312" w:hAnsi="楷体_GB2312"/>
          <w:sz w:val="32"/>
        </w:rPr>
        <w:t>12</w:t>
      </w:r>
      <w:r>
        <w:rPr>
          <w:rStyle w:val="C3"/>
          <w:rFonts w:ascii="Microsoft YaHei UI" w:hAnsi="Microsoft YaHei UI"/>
          <w:sz w:val="32"/>
        </w:rPr>
        <w:t>日山西省第九届人民代表大会常务委员会第二十次会议批准）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第一条　</w:t>
      </w:r>
      <w:r>
        <w:rPr>
          <w:rStyle w:val="C3"/>
          <w:rFonts w:ascii="Microsoft YaHei UI" w:hAnsi="Microsoft YaHei UI"/>
          <w:sz w:val="32"/>
        </w:rPr>
        <w:t>为加强企业民主决策、民主管理和民主监督，促进企业发展，根据本市实际，制定本办法。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第二条　</w:t>
      </w:r>
      <w:r>
        <w:rPr>
          <w:rStyle w:val="C3"/>
          <w:rFonts w:ascii="Microsoft YaHei UI" w:hAnsi="Microsoft YaHei UI"/>
          <w:sz w:val="32"/>
        </w:rPr>
        <w:t>本办法适用于本市行政区域内国有企业、集体企业以及国家控股和集体控股企业。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第三条　</w:t>
      </w:r>
      <w:r>
        <w:rPr>
          <w:rStyle w:val="C3"/>
          <w:rFonts w:ascii="Microsoft YaHei UI" w:hAnsi="Microsoft YaHei UI"/>
          <w:sz w:val="32"/>
        </w:rPr>
        <w:t>企务公开是企业的领导人员将生产经营与改革发展的重大决策、涉及职工切身利益的有关事项等内容，通过一定形式向职工公示的行为。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第四条　</w:t>
      </w:r>
      <w:r>
        <w:rPr>
          <w:rStyle w:val="C3"/>
          <w:rFonts w:ascii="Microsoft YaHei UI" w:hAnsi="Microsoft YaHei UI"/>
          <w:sz w:val="32"/>
        </w:rPr>
        <w:t>企务公开应当坚持实事求是、注重实效和有利于稳定发展的原则。</w:t>
      </w:r>
      <w:r>
        <w:rPr>
          <w:rStyle w:val="C3"/>
          <w:rFonts w:ascii="仿宋_GB2312" w:hAnsi="仿宋_GB2312"/>
          <w:sz w:val="32"/>
        </w:rPr>
        <w:t xml:space="preserve"> 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第五条　</w:t>
      </w:r>
      <w:r>
        <w:rPr>
          <w:rStyle w:val="C3"/>
          <w:rFonts w:ascii="Microsoft YaHei UI" w:hAnsi="Microsoft YaHei UI"/>
          <w:sz w:val="32"/>
        </w:rPr>
        <w:t>企务公开的主要内容：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（一）生产经营与改革发展的重大决策，包括长远规划、年度计划、企业经营和财务收支，大宗物资采购、重大基建项目与技术改造项目招投标情况，改革、改制、兼并、破产、出租、拍卖的方案；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（二）涉及职工切身利益的有关事宜，包括工资分配、职工奖惩、劳动保护、安全生产、社会保险、生活福利、职称评定、用工裁员、集体劳动合同的签订和履行情况；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（三）企业领导人员使用公车、通讯费支出、出差出国（境）费用支出和业务招待费使用情况；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（四）企业领导人员年终述职评议的结果。</w:t>
      </w:r>
      <w:r>
        <w:rPr>
          <w:rStyle w:val="C3"/>
          <w:rFonts w:ascii="仿宋_GB2312" w:hAnsi="仿宋_GB2312"/>
          <w:sz w:val="32"/>
        </w:rPr>
        <w:t xml:space="preserve"> 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企务公开不得泄露商业秘密。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第六条　</w:t>
      </w:r>
      <w:r>
        <w:rPr>
          <w:rStyle w:val="C3"/>
          <w:rFonts w:ascii="Microsoft YaHei UI" w:hAnsi="Microsoft YaHei UI"/>
          <w:sz w:val="32"/>
        </w:rPr>
        <w:t>企务公开的主要形式：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（一）向职工大会或职工代表大会报告；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（二）向职工代表团（组）长联席会通报；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（三）公开栏公示；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（四）利用内部广播、闭路电视等载体公布。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第七条　</w:t>
      </w:r>
      <w:r>
        <w:rPr>
          <w:rStyle w:val="C3"/>
          <w:rFonts w:ascii="Microsoft YaHei UI" w:hAnsi="Microsoft YaHei UI"/>
          <w:sz w:val="32"/>
        </w:rPr>
        <w:t>企务公开的时间：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（一）向职工大会或职工代表大会报告的，一年不得少于一次；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（二）属于常规性工作的应当定期公开，属于阶段性工作的应当及时公开。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第八条　</w:t>
      </w:r>
      <w:r>
        <w:rPr>
          <w:rStyle w:val="C3"/>
          <w:rFonts w:ascii="Microsoft YaHei UI" w:hAnsi="Microsoft YaHei UI"/>
          <w:sz w:val="32"/>
        </w:rPr>
        <w:t>职工大会或职工代表大会负责对本单位企务公开实施监督。职工大会或职工代表大会闭会期间，由本企业的工会组织实施监督，并负责向下一次职工大会或职工代表大会报告监督实施情况。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第九条　</w:t>
      </w:r>
      <w:r>
        <w:rPr>
          <w:rStyle w:val="C3"/>
          <w:rFonts w:ascii="Microsoft YaHei UI" w:hAnsi="Microsoft YaHei UI"/>
          <w:sz w:val="32"/>
        </w:rPr>
        <w:t>企业的领导人员不按规定实行企务公开或者公开内容失实的，由企业工会组织提出批评，限期整改。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第十条　</w:t>
      </w:r>
      <w:r>
        <w:rPr>
          <w:rStyle w:val="C3"/>
          <w:rFonts w:ascii="Microsoft YaHei UI" w:hAnsi="Microsoft YaHei UI"/>
          <w:sz w:val="32"/>
        </w:rPr>
        <w:t>职工依照本办法对企务公开实施监督应当保护。对参与监督的职工打击报复造成后果的，依法追究其责任。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  <w:r>
        <w:rPr>
          <w:rStyle w:val="C3"/>
          <w:rFonts w:ascii="黑体" w:hAnsi="黑体"/>
          <w:sz w:val="32"/>
        </w:rPr>
        <w:t>第十一条　</w:t>
      </w:r>
      <w:r>
        <w:rPr>
          <w:rStyle w:val="C3"/>
          <w:rFonts w:ascii="Microsoft YaHei UI" w:hAnsi="Microsoft YaHei UI"/>
          <w:sz w:val="32"/>
        </w:rPr>
        <w:t>本办法自公布之日起施行。</w:t>
      </w:r>
    </w:p>
    <w:p>
      <w:pPr>
        <w:pStyle w:val="P1"/>
        <w:spacing w:lineRule="exact" w:line="578"/>
        <w:ind w:firstLine="640"/>
        <w:rPr>
          <w:rStyle w:val="C3"/>
          <w:rFonts w:ascii="仿宋_GB2312" w:hAnsi="仿宋_GB2312"/>
          <w:sz w:val="32"/>
        </w:rPr>
      </w:pPr>
    </w:p>
    <w:sectPr>
      <w:headerReference xmlns:r="http://schemas.openxmlformats.org/officeDocument/2006/relationships" w:type="even" r:id="RelHdr1"/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oddPage"/>
      <w:pgSz w:w="11906" w:h="16838" w:code="0"/>
      <w:pgMar w:left="1531" w:right="1531" w:top="2041" w:bottom="2041" w:header="851" w:footer="1304" w:gutter="0"/>
      <w:pgNumType w:start="1" w:fmt="numberInDash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jc w:val="right"/>
      <w:rPr>
        <w:rStyle w:val="C3"/>
        <w:rFonts w:ascii="Times New Roman" w:hAnsi="Times New Roman"/>
        <w:sz w:val="28"/>
      </w:rPr>
    </w:pPr>
    <w:r>
      <w:fldChar w:fldCharType="begin"/>
    </w:r>
    <w:r>
      <w:rPr>
        <w:rStyle w:val="C3"/>
        <w:rFonts w:ascii="Times New Roman" w:hAnsi="Times New Roman"/>
        <w:sz w:val="28"/>
      </w:rPr>
      <w:instrText xml:space="preserve"> PAGE   \* MERGEFORMAT </w:instrText>
    </w:r>
    <w:r>
      <w:rPr>
        <w:rStyle w:val="C3"/>
        <w:rFonts w:ascii="Times New Roman" w:hAnsi="Times New Roman"/>
        <w:sz w:val="28"/>
      </w:rPr>
      <w:fldChar w:fldCharType="separate"/>
    </w:r>
    <w:r>
      <w:rPr>
        <w:rStyle w:val="C3"/>
        <w:rFonts w:ascii="Times New Roman" w:hAnsi="Times New Roman"/>
        <w:sz w:val="28"/>
      </w:rPr>
      <w:t>#</w:t>
    </w:r>
    <w:r>
      <w:rPr>
        <w:rStyle w:val="C3"/>
        <w:rFonts w:ascii="Times New Roman" w:hAnsi="Times New Roman"/>
        <w:sz w:val="28"/>
      </w:rPr>
      <w:fldChar w:fldCharType="end"/>
    </w:r>
    <w:r>
      <w:rPr>
        <w:rStyle w:val="C3"/>
        <w:rFonts w:ascii="方正姚体" w:hAnsi="方正姚体"/>
        <w:sz w:val="28"/>
      </w:rPr>
      <w:t>　</w:t>
    </w:r>
  </w:p>
  <w:p>
    <w:pPr>
      <w:pStyle w:val="P6"/>
      <w:tabs>
        <w:tab w:val="center" w:pos="4153" w:leader="none"/>
        <w:tab w:val="right" w:pos="8306" w:leader="none"/>
      </w:tabs>
      <w:rPr>
        <w:rStyle w:val="C3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  <w:tabs>
        <w:tab w:val="center" w:pos="4153" w:leader="none"/>
        <w:tab w:val="right" w:pos="8306" w:leader="none"/>
      </w:tabs>
      <w:ind w:firstLine="280"/>
      <w:rPr>
        <w:rStyle w:val="C3"/>
        <w:rFonts w:ascii="Times New Roman" w:hAnsi="Times New Roman"/>
        <w:sz w:val="28"/>
      </w:rPr>
    </w:pPr>
    <w:r>
      <w:fldChar w:fldCharType="begin"/>
    </w:r>
    <w:r>
      <w:rPr>
        <w:rStyle w:val="C3"/>
        <w:rFonts w:ascii="Times New Roman" w:hAnsi="Times New Roman"/>
        <w:sz w:val="28"/>
      </w:rPr>
      <w:instrText xml:space="preserve"> PAGE   \* MERGEFORMAT </w:instrText>
    </w:r>
    <w:r>
      <w:rPr>
        <w:rStyle w:val="C3"/>
        <w:rFonts w:ascii="Times New Roman" w:hAnsi="Times New Roman"/>
        <w:sz w:val="28"/>
      </w:rPr>
      <w:fldChar w:fldCharType="separate"/>
    </w:r>
    <w:r>
      <w:rPr>
        <w:rStyle w:val="C3"/>
        <w:rFonts w:ascii="Times New Roman" w:hAnsi="Times New Roman"/>
        <w:sz w:val="28"/>
      </w:rPr>
      <w:t>#</w:t>
    </w:r>
    <w:r>
      <w:rPr>
        <w:rStyle w:val="C3"/>
        <w:rFonts w:ascii="Times New Roman" w:hAnsi="Times New Roman"/>
        <w:sz w:val="28"/>
      </w:rPr>
      <w:fldChar w:fldCharType="end"/>
    </w:r>
  </w:p>
  <w:p>
    <w:pPr>
      <w:pStyle w:val="P6"/>
      <w:tabs>
        <w:tab w:val="center" w:pos="4153" w:leader="none"/>
        <w:tab w:val="right" w:pos="8306" w:leader="none"/>
      </w:tabs>
      <w:rPr>
        <w:rStyle w:val="C3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5"/>
      <w:pBdr>
        <w:bottom w:val="none" w:sz="0" w:space="0" w:shadow="0" w:frame="0"/>
      </w:pBdr>
      <w:tabs>
        <w:tab w:val="center" w:pos="4153" w:leader="none"/>
        <w:tab w:val="right" w:pos="8306" w:leader="none"/>
      </w:tabs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pPr>
      <w:widowControl w:val="0"/>
      <w:jc w:val="both"/>
    </w:pPr>
    <w:rPr>
      <w:rFonts w:ascii="Calibri" w:hAnsi="Calibri"/>
      <w:sz w:val="21"/>
    </w:rPr>
  </w:style>
  <w:style w:type="paragraph" w:styleId="P2">
    <w:name w:val="标题 1"/>
    <w:basedOn w:val="P1"/>
    <w:next w:val="P1"/>
    <w:link w:val="C7"/>
    <w:pPr>
      <w:spacing w:before="100" w:after="100" w:beforeAutospacing="1" w:afterAutospacing="1"/>
      <w:jc w:val="left"/>
      <w:outlineLvl w:val="0"/>
    </w:pPr>
    <w:rPr>
      <w:rFonts w:ascii="宋体" w:hAnsi="宋体"/>
      <w:b w:val="1"/>
      <w:sz w:val="48"/>
    </w:rPr>
  </w:style>
  <w:style w:type="paragraph" w:styleId="P3">
    <w:name w:val="标题 2"/>
    <w:basedOn w:val="P1"/>
    <w:next w:val="P1"/>
    <w:link w:val="C6"/>
    <w:pPr>
      <w:spacing w:before="100" w:after="100" w:beforeAutospacing="1" w:afterAutospacing="1"/>
      <w:jc w:val="left"/>
      <w:outlineLvl w:val="1"/>
    </w:pPr>
    <w:rPr>
      <w:rFonts w:ascii="宋体" w:hAnsi="宋体"/>
      <w:b w:val="1"/>
      <w:sz w:val="36"/>
    </w:rPr>
  </w:style>
  <w:style w:type="paragraph" w:styleId="P4">
    <w:name w:val="标题 3"/>
    <w:basedOn w:val="P1"/>
    <w:next w:val="P1"/>
    <w:link w:val="C8"/>
    <w:pPr>
      <w:spacing w:before="100" w:after="100" w:beforeAutospacing="1" w:afterAutospacing="1"/>
      <w:jc w:val="left"/>
      <w:outlineLvl w:val="2"/>
    </w:pPr>
    <w:rPr>
      <w:rFonts w:ascii="宋体" w:hAnsi="宋体"/>
      <w:b w:val="1"/>
      <w:sz w:val="27"/>
    </w:rPr>
  </w:style>
  <w:style w:type="paragraph" w:styleId="P5">
    <w:name w:val="页眉"/>
    <w:basedOn w:val="P1"/>
    <w:next w:val="P5"/>
    <w:link w:val="C5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jc w:val="center"/>
    </w:pPr>
    <w:rPr>
      <w:rFonts w:ascii="Calibri" w:hAnsi="Calibri"/>
      <w:sz w:val="18"/>
    </w:rPr>
  </w:style>
  <w:style w:type="paragraph" w:styleId="P6">
    <w:name w:val="页脚"/>
    <w:basedOn w:val="P1"/>
    <w:next w:val="P6"/>
    <w:link w:val="C4"/>
    <w:pPr>
      <w:tabs>
        <w:tab w:val="center" w:pos="4153" w:leader="none"/>
        <w:tab w:val="right" w:pos="8306" w:leader="none"/>
      </w:tabs>
      <w:jc w:val="left"/>
    </w:pPr>
    <w:rPr>
      <w:rFonts w:ascii="Calibri" w:hAnsi="Calibr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character" w:styleId="C4">
    <w:name w:val="页脚 Char"/>
    <w:basedOn w:val="C3"/>
    <w:link w:val="P6"/>
    <w:rPr>
      <w:rFonts w:ascii="Calibri" w:hAnsi="Calibri"/>
      <w:sz w:val="18"/>
    </w:rPr>
  </w:style>
  <w:style w:type="character" w:styleId="C5">
    <w:name w:val="页眉 Char"/>
    <w:basedOn w:val="C3"/>
    <w:link w:val="P5"/>
    <w:rPr>
      <w:rFonts w:ascii="Calibri" w:hAnsi="Calibri"/>
      <w:sz w:val="18"/>
    </w:rPr>
  </w:style>
  <w:style w:type="character" w:styleId="C6">
    <w:name w:val="标题 2 Char"/>
    <w:basedOn w:val="C3"/>
    <w:link w:val="P3"/>
    <w:rPr>
      <w:rFonts w:ascii="宋体" w:hAnsi="宋体"/>
      <w:b w:val="1"/>
      <w:sz w:val="36"/>
    </w:rPr>
  </w:style>
  <w:style w:type="character" w:styleId="C7">
    <w:name w:val="标题 1 Char"/>
    <w:basedOn w:val="C3"/>
    <w:link w:val="P2"/>
    <w:rPr>
      <w:rFonts w:ascii="宋体" w:hAnsi="宋体"/>
      <w:b w:val="1"/>
      <w:sz w:val="48"/>
    </w:rPr>
  </w:style>
  <w:style w:type="character" w:styleId="C8">
    <w:name w:val="标题 3 Char"/>
    <w:basedOn w:val="C3"/>
    <w:link w:val="P4"/>
    <w:rPr>
      <w:rFonts w:ascii="宋体" w:hAnsi="宋体"/>
      <w:b w:val="1"/>
      <w:sz w:val="27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2017-01-02T22:39:00Z</dcterms:created>
  <cp:lastModifiedBy>f1TZOF\f1TZOF-</cp:lastModifiedBy>
  <dcterms:modified xsi:type="dcterms:W3CDTF">2024-08-28T01:36:53Z</dcterms:modified>
  <cp:revision>2</cp:revision>
  <dc:title>太原市水资源管理办法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2052-8.1.0.3000</vt:lpwstr>
  </property>
</Properties>
</file>