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1B4D1F" Type="http://schemas.openxmlformats.org/officeDocument/2006/relationships/officeDocument" Target="/word/document.xml" /><Relationship Id="coreR2F1B4D1F" Type="http://schemas.openxmlformats.org/package/2006/relationships/metadata/core-properties" Target="/docProps/core.xml" /><Relationship Id="customR2F1B4D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鞍山市文明行为促进条例</w:t>
      </w: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left="603" w:right="60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日鞍山市第十六届人民代表大会常务委员会第二十九次会议通过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日辽宁省第十三届人民代表大会常务委员会第二十三次会议批准）</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right="60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jc w:val="center"/>
        <w:rPr>
          <w:rStyle w:val="C3"/>
          <w:rFonts w:ascii="楷体" w:hAnsi="楷体"/>
          <w:sz w:val="32"/>
        </w:rPr>
      </w:pPr>
    </w:p>
    <w:p>
      <w:pPr>
        <w:pStyle w:val="P1"/>
        <w:keepNext w:val="0"/>
        <w:keepLines w:val="0"/>
        <w:widowControl w:val="0"/>
        <w:spacing w:lineRule="exact" w:line="560"/>
        <w:ind w:left="603" w:right="603"/>
        <w:rPr>
          <w:rStyle w:val="C3"/>
          <w:rFonts w:ascii="楷体_GB2312" w:hAnsi="楷体_GB2312"/>
          <w:sz w:val="32"/>
        </w:rPr>
      </w:pPr>
      <w:r>
        <w:rPr>
          <w:rStyle w:val="C3"/>
          <w:rFonts w:ascii="楷体" w:hAnsi="楷体"/>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rPr>
          <w:rStyle w:val="C3"/>
          <w:rFonts w:ascii="楷体_GB2312" w:hAnsi="楷体_GB2312"/>
          <w:sz w:val="32"/>
        </w:rPr>
        <w:instrText xml:space="preserve"> HYPERLINK \l "_Toc19304" </w:instrText>
      </w:r>
      <w:r>
        <w:rPr>
          <w:rStyle w:val="C3"/>
          <w:rFonts w:ascii="楷体_GB2312" w:hAnsi="楷体_GB2312"/>
          <w:sz w:val="32"/>
        </w:rP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1"/>
        <w:keepNext w:val="0"/>
        <w:keepLines w:val="0"/>
        <w:widowControl w:val="0"/>
        <w:spacing w:lineRule="exact" w:line="560"/>
        <w:ind w:left="603" w:right="603"/>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"_Toc29001" </w:instrText>
      </w:r>
      <w:r>
        <w:rPr>
          <w:rStyle w:val="C3"/>
          <w:rFonts w:ascii="楷体_GB2312" w:hAnsi="楷体_GB2312"/>
          <w:sz w:val="32"/>
        </w:rP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楷体_GB2312" w:hAnsi="楷体_GB2312"/>
          <w:sz w:val="32"/>
        </w:rPr>
        <w:fldChar w:fldCharType="end"/>
      </w:r>
      <w:r>
        <w:rPr>
          <w:rStyle w:val="C3"/>
          <w:rFonts w:ascii="Microsoft YaHei UI" w:hAnsi="Microsoft YaHei UI"/>
          <w:sz w:val="32"/>
        </w:rPr>
        <w:t>文明行为基本规范</w:t>
      </w:r>
    </w:p>
    <w:p>
      <w:pPr>
        <w:pStyle w:val="P1"/>
        <w:keepNext w:val="0"/>
        <w:keepLines w:val="0"/>
        <w:widowControl w:val="0"/>
        <w:spacing w:lineRule="exact" w:line="560"/>
        <w:ind w:left="603" w:right="603"/>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"_Toc28601" </w:instrText>
      </w:r>
      <w:r>
        <w:rPr>
          <w:rStyle w:val="C3"/>
          <w:rFonts w:ascii="楷体_GB2312" w:hAnsi="楷体_GB2312"/>
          <w:sz w:val="32"/>
        </w:rP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楷体_GB2312" w:hAnsi="楷体_GB2312"/>
          <w:sz w:val="32"/>
        </w:rPr>
        <w:fldChar w:fldCharType="end"/>
      </w:r>
      <w:r>
        <w:rPr>
          <w:rStyle w:val="C3"/>
          <w:rFonts w:ascii="Microsoft YaHei UI" w:hAnsi="Microsoft YaHei UI"/>
          <w:sz w:val="32"/>
        </w:rPr>
        <w:t>鼓励与促进</w:t>
      </w:r>
    </w:p>
    <w:p>
      <w:pPr>
        <w:pStyle w:val="P1"/>
        <w:keepNext w:val="0"/>
        <w:keepLines w:val="0"/>
        <w:widowControl w:val="0"/>
        <w:spacing w:lineRule="exact" w:line="560"/>
        <w:ind w:left="603" w:right="603"/>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"_Toc21026" </w:instrText>
      </w:r>
      <w:r>
        <w:rPr>
          <w:rStyle w:val="C3"/>
          <w:rFonts w:ascii="楷体_GB2312" w:hAnsi="楷体_GB2312"/>
          <w:sz w:val="32"/>
        </w:rP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楷体_GB2312" w:hAnsi="楷体_GB2312"/>
          <w:sz w:val="32"/>
        </w:rPr>
        <w:fldChar w:fldCharType="end"/>
      </w:r>
      <w:r>
        <w:rPr>
          <w:rStyle w:val="C3"/>
          <w:rFonts w:ascii="Microsoft YaHei UI" w:hAnsi="Microsoft YaHei UI"/>
          <w:sz w:val="32"/>
        </w:rPr>
        <w:t>职责与监督</w:t>
      </w:r>
    </w:p>
    <w:p>
      <w:pPr>
        <w:pStyle w:val="P1"/>
        <w:keepNext w:val="0"/>
        <w:keepLines w:val="0"/>
        <w:widowControl w:val="0"/>
        <w:spacing w:lineRule="exact" w:line="560"/>
        <w:ind w:left="603" w:right="603"/>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"_Toc18415" </w:instrText>
      </w:r>
      <w:r>
        <w:rPr>
          <w:rStyle w:val="C3"/>
          <w:rFonts w:ascii="楷体_GB2312" w:hAnsi="楷体_GB2312"/>
          <w:sz w:val="32"/>
        </w:rP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楷体_GB2312" w:hAnsi="楷体_GB2312"/>
          <w:sz w:val="32"/>
        </w:rPr>
        <w:fldChar w:fldCharType="end"/>
      </w:r>
      <w:r>
        <w:rPr>
          <w:rStyle w:val="C3"/>
          <w:rFonts w:ascii="Microsoft YaHei UI" w:hAnsi="Microsoft YaHei UI"/>
          <w:sz w:val="32"/>
        </w:rPr>
        <w:t>法律责任</w:t>
      </w:r>
    </w:p>
    <w:p>
      <w:pPr>
        <w:pStyle w:val="P1"/>
        <w:keepNext w:val="0"/>
        <w:keepLines w:val="0"/>
        <w:widowControl w:val="0"/>
        <w:spacing w:lineRule="exact" w:line="560"/>
        <w:ind w:left="603" w:right="603"/>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"_Toc11485" </w:instrText>
      </w:r>
      <w:r>
        <w:rPr>
          <w:rStyle w:val="C3"/>
          <w:rFonts w:ascii="楷体_GB2312" w:hAnsi="楷体_GB2312"/>
          <w:sz w:val="32"/>
        </w:rP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楷体_GB2312" w:hAnsi="楷体_GB2312"/>
          <w:sz w:val="32"/>
        </w:rPr>
        <w:fldChar w:fldCharType="end"/>
      </w:r>
      <w:r>
        <w:rPr>
          <w:rStyle w:val="C3"/>
          <w:rFonts w:ascii="Microsoft YaHei UI" w:hAnsi="Microsoft YaHei UI"/>
          <w:sz w:val="32"/>
        </w:rPr>
        <w:t>附则</w:t>
      </w:r>
    </w:p>
    <w:p>
      <w:pPr>
        <w:pStyle w:val="P1"/>
        <w:keepNext w:val="0"/>
        <w:keepLines w:val="0"/>
        <w:widowControl w:val="0"/>
        <w:spacing w:lineRule="exact" w:line="560"/>
        <w:ind w:left="603" w:right="603"/>
        <w:rPr>
          <w:rStyle w:val="C3"/>
          <w:rFonts w:ascii="宋体" w:hAnsi="宋体"/>
          <w:sz w:val="32"/>
        </w:rPr>
      </w:pPr>
      <w:r>
        <w:rPr>
          <w:rStyle w:val="C3"/>
          <w:rFonts w:ascii="楷体_GB2312" w:hAnsi="楷体_GB2312"/>
          <w:sz w:val="32"/>
        </w:rPr>
        <w:fldChar w:fldCharType="end"/>
      </w: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为了培育和践行社会主义核心价值观，引导和促进文明行为，树立社会文明风尚，提升公民文明素质与社会文明程度，根据宪法和有关法律法规，结合本市实际，制定本条例。</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本条例适用于本市行政区域内的文明行为促进活动及其相关工作。</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本条例所称文明行为，是指遵守宪法和法律、法规规定，体现社会主义核心价值观，符合社会主义道德和公序良俗的要求，引领社会风尚，推动社会文明进步的行为。</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文明行为促进工作应当坚持以人民为中心、共建共享、统筹推进、奖惩结合的原则，实行党委统一领导，政府组织推进，部门各负其责，全社会共同参与的工作机制。</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市、县（市）区精神文明建设指导委员会负责本行政区域内文明行为促进工作的统筹推进。</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市、县（市）区精神文明建设指导委员会办事部门具体负责本行政区域内文明行为促进工作的组织协调和督促检查。</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市、县（市）区人民政府应当将文明行为促进工作纳入国民经济和社会发展规划及年度计划，制定相关政策措施，推动文明行为促进工作与经济社会协调发展。</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市、县（市）区人民政府相关职能部门应当在各自职责范围内做好文明行为促进工作。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乡镇人民政府、街道办事处应当将文明行为促进工作纳入工作日程，确定责任部门和专门人员，推进工作落实。</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居民委员会、村民委员会应当加强文明行为的宣传、教育和引导，协助做好文明行为促进相关工作。</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公民应当自觉践行社会主义核心价值观，遵守社会公德、职业道德、家庭美德、个人品德，不断提升道德素质和文明素养。</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机关、团体、企业事业单位、其他组织和公民，应当结合自身实际积极支持和参与文明行为促进工作。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国家公职人员、先进模范人物以及其他社会公众人物应当在文明行为促进工作中发挥表率作用。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新闻媒体应当积极宣传文明行为，传播文明理念，加强舆论引导，营造全社会促进文明行为的氛围。</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文明行为基本规范</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在践行家庭美德方面，公民应当遵守下列文明行为规范：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（一）传承和弘扬良好家风，塑造家庭成员诚信品质，营造和谐家庭氛围；</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（二）尊敬长辈，赡养老人；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（三）夫妻和睦，平等相待；</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（四）关爱未成年人健康成长，培养文明行为习惯；</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（五）家庭成员之间相互关爱，不虐待、遗弃；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（六）其他践行家庭美德的规定。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在维护公共秩序方面，公民应当遵守下列文明行为规范：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（一）着装整洁得体，言行举止得当；</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（二）等候服务时，依次排队，有序礼让；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（三）乘坐电梯先下后上，上下楼梯右侧通行；</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（四）不在禁烟场所吸烟；</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（五）不违规燃放烟花爆竹；</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（六）不劝酒、不拼酒、不酒后滋事；</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（七）不损坏公共设施；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（八）不攀折花草树木，不践踏草坪；</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（九）在公共场所内保持安静，轻声接打电话；</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（十）观影观赛或参加其他公共活动时，不随意走动，不大声喧哗，不喝倒彩；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（十一）庆典、营销、娱乐、健身，不干扰他人正常工作、生活；</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（十二）遇突发事件，服从现场指挥，配合应急处置，不盲目聚集、围观；</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（十三）其他维护公共秩序的规定。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在维护公共卫生方面，公民应当遵守下列文明行为规范：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（一）不随地吐痰、便溺；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（二）不乱扔瓜果皮、包装物、纸屑、烟头、口香糖等废弃物；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（三）不乱倒垃圾、污水、粪便，不乱弃动物尸体；</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（四）不随意张贴、喷涂、散发广告传单；</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（五）在公共场所咳嗽、打喷嚏时遮掩口鼻，患有流行性感冒等传染性呼吸道疾病时佩戴口罩；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（六）患有传染病时，如实提供有关情况，配合相关检验、隔离治疗等措施；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（七）不非法买卖、食用野生动物及其制品；</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（八）其他维护公共卫生的规定。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在维护交通安全秩序方面，公民应当遵守下列文明行为规范：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（一）驾驶机动车时，不违规变道、鸣笛、停靠、使用灯光，不拨打接听手持电话、车窗抛物、观看视频等妨碍安全驾驶的行为，按照道路标志、标线、交通信号灯指示通行，主动避让消防、救护等救援车辆；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（二）行经人行横道时，应当减速行驶，遇到行人正在通过人行横道，应当停车礼让；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（三）在出入口和拥堵缓行路段互相礼让、有序通行，低速通过积水路段；</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（四）驾驶非机动车时，不违规进入机动车道、人行道，不逆行，不乱穿马路，不违规载人、载物；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（五）行人遵守交通信号标志和交通规则，不违规乱穿马路、跨越道路隔离设施；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（六）乘坐公共交通工具时，应当自觉排队，主动为老、幼、病、残、孕等有需要的乘客让座，不携带宠物，不食用、携带散发异味的物品，不得影响驾驶人安全驾驶；</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（七）停放车辆时，不得占用人行道、盲道、无障碍停车位和消防、医疗急救等公共通道，临时停车时，不得妨碍其他车辆和行人正常通行；</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（八）公交车和出租车驾驶人应当保持车辆整洁，有序停靠，不得甩客、欺客和拒载；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（九）不得在车行道上乞讨、散发广告、兜售物品或作出其他妨碍交通安全的行为；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（十）其他维护道路交通秩序的规定。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在维护社区管理秩序方面，公民应当遵守下列文明行为规范：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（一）不占用或者损坏共用部位、共用设施设备；</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（二）不在公共区域堆放杂物、私搭乱建，不占用、堵塞、封闭消防通道和疏散通道；</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（三）不在阳台外、窗外、屋顶等空间悬挂或者堆放可能危害公共安全的物品；</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（四）不向室外或楼下抛撒物品；</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（五）分类投放生活垃圾；</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（六）控制装修、装饰及娱乐、锻炼等活动噪声，不干扰他人；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（七）不违反规定饲养家禽、家畜和宠物；携犬出户时，携带养犬登记证，用牵引带牵领，及时清理粪便；</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（八）不私搭灵棚，不吹丧送葬，不焚烧、不抛撒冥纸、冥钞；</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（九）其他维护社区管理秩序的规定。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在维护旅游管理方面，公民应当遵守下列文明行为规范：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（一）尊重当地历史文化风貌、风俗习惯、文化传统和宗教信仰；</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（二）保护英雄烈士纪念设施，不得损害纪念英雄烈士的环境和氛围；</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（三）爱护文物古迹，不在文物古迹上刻划、涂画、张贴，不攀爬、触摸文物，遵守景区关于拍照摄像的规定；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（四）配合景区景点管理，爱护景区景点公共设施；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（五）其他维护旅游管理秩序的规定。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在维护网络文明方面，公民应当遵守下列文明行为规范：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（一）树立国家观念，维护国家安全、荣誉和利益；</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（二）文明互动，理性表达，不恶意攻击、骚扰他人；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（三）拒绝网络暴力，不侮辱、谩骂他人；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（四）相信历史、敬畏历史，不歪曲丑化亵渎英雄烈士和历史人物；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（五）抵制不良信息，不造谣、不信谣、不传谣；</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（六）其他维护网络文明的行为规范。</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在维护医疗秩序方面，公民应当遵守下列文明行为规范：</w:t>
      </w:r>
    </w:p>
    <w:p>
      <w:pPr>
        <w:pStyle w:val="P1"/>
        <w:keepNext w:val="0"/>
        <w:keepLines w:val="0"/>
        <w:widowControl w:val="0"/>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遵守各项诊疗服务制度；</w:t>
      </w:r>
    </w:p>
    <w:p>
      <w:pPr>
        <w:pStyle w:val="P1"/>
        <w:keepNext w:val="0"/>
        <w:keepLines w:val="0"/>
        <w:widowControl w:val="0"/>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尊重和配合医护人员工作，不侮辱、谩骂、威胁医务人员；</w:t>
      </w:r>
    </w:p>
    <w:p>
      <w:pPr>
        <w:pStyle w:val="P1"/>
        <w:keepNext w:val="0"/>
        <w:keepLines w:val="0"/>
        <w:widowControl w:val="0"/>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通过合法途径解决医疗纠纷；</w:t>
      </w:r>
    </w:p>
    <w:p>
      <w:pPr>
        <w:pStyle w:val="P1"/>
        <w:keepNext w:val="0"/>
        <w:keepLines w:val="0"/>
        <w:widowControl w:val="0"/>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其他维护医疗秩序的文明行为规范。</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鼓励与促进</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鼓励公民积极参与全民阅读，养成良好阅读习惯。</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鼓励开展文明村镇、文明单位、文明家庭、文明校园创建活动。有关部门依照有关规定对表现突出、成效显著的单位和个人给予表彰、奖励。</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鼓励和支持公民采取合法、适当、有效的方式实施见义勇为行为。有关部门应当依照相关规定，对见义勇为人员给予援助、保护和表彰、奖励。</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鼓励国家机关、企业事业单位、人民团体、社会组织等依法成立志愿服务队伍，开展志愿服务活动。有关部门应当依照相关规定，对从事志愿服务表现突出的志愿服务组织和志愿者，给予表彰、奖励。</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鼓励扶老、助残、济困、助学、赈灾、医疗救助等慈善公益活动。有关部门依照相关规定，对从事慈善公益活动表现突出的，给予表彰、奖励。</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鼓励无偿献血和自愿捐献造血干细胞、人体（遗体）组织及器官的行为。有关部门应当依照相关规定，对表现突出的献血者和捐献者，给予表彰、奖励。</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鼓励低碳生活、绿色出行，节约油、水、电、气等公共资源，优先选择步行、骑车或者乘坐公共交通工具出行。</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鼓励节约用餐、科学分餐，提倡</w:t>
      </w:r>
      <w:r>
        <w:rPr>
          <w:rStyle w:val="C3"/>
          <w:rFonts w:ascii="仿宋_GB2312" w:hAnsi="仿宋_GB2312"/>
          <w:sz w:val="32"/>
        </w:rPr>
        <w:t>“</w:t>
      </w:r>
      <w:r>
        <w:rPr>
          <w:rStyle w:val="C3"/>
          <w:rFonts w:ascii="Microsoft YaHei UI" w:hAnsi="Microsoft YaHei UI"/>
          <w:sz w:val="32"/>
        </w:rPr>
        <w:t>光盘打包</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公筷公勺</w:t>
      </w:r>
      <w:r>
        <w:rPr>
          <w:rStyle w:val="C3"/>
          <w:rFonts w:ascii="仿宋_GB2312" w:hAnsi="仿宋_GB2312"/>
          <w:sz w:val="32"/>
        </w:rPr>
        <w:t>”</w:t>
      </w:r>
      <w:r>
        <w:rPr>
          <w:rStyle w:val="C3"/>
          <w:rFonts w:ascii="Microsoft YaHei UI" w:hAnsi="Microsoft YaHei UI"/>
          <w:sz w:val="32"/>
        </w:rPr>
        <w:t>，少用或者不用一次性餐具。</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鼓励文明祭祀，提倡环保祭祀、网络祭祀。</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鼓励节俭操办婚丧喜庆事宜，破除陈规陋习。</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鼓励公民在政府的组织下有序参加自然灾害、事故灾难或者公共卫生事件的应急救援和处置工作，为需要救助的人员提供力所能及的帮助。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鼓励公民为需要急救的人员拨打</w:t>
      </w:r>
      <w:r>
        <w:rPr>
          <w:rStyle w:val="C3"/>
          <w:rFonts w:ascii="仿宋_GB2312" w:hAnsi="仿宋_GB2312"/>
          <w:sz w:val="32"/>
        </w:rPr>
        <w:t>“120”</w:t>
      </w:r>
      <w:r>
        <w:rPr>
          <w:rStyle w:val="C3"/>
          <w:rFonts w:ascii="Microsoft YaHei UI" w:hAnsi="Microsoft YaHei UI"/>
          <w:sz w:val="32"/>
        </w:rPr>
        <w:t>急救医疗呼救电话，鼓励具备急救技能的公民，对需要急救的人员实施紧急现场救护。</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鼓励和支持国家机关、企业事业单位和其他组织利用本单位场所、设施，设立爱心服务点，为环卫工人、户外劳动者和其他需要帮助的人员提供饮用水、餐食加热、休憩如厕等便利服务。</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职责与监督</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市、县（市）区精神文明建设指导委员会应当建立文明行为促进工作联席会议制度，研究、拟定文明行为促进工作相关政策，协调、解决有关重大问题，通报工作情况。</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市精神文明建设指导委员会应当确定年度社会文明促进主题，市精神文明建设指导委员会办事部门制定相应的工作计划并组织实施。</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市、县（市）区人民政府及相关部门应当加大投入，加强文明行为促进工作相关设施的规划、建设、管理，逐步完善下列设施：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（一）道路、桥梁、公共交通工具、公交站牌、交通标志标线等交通设施；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（二）人行横道、过街天桥、地下通道、绿化照明、停车泊位等市政设施；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（三）有分类标识的垃圾箱、垃圾存放清运等环卫设施和环卫工人临时休息场所；</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（四）行政区划、自然地理、居住小区、街道、楼宇、门牌等地名指位设施；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（五）广告栏、宣传栏等公益广告宣传设施和文明标识标志；</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（六）其他与文明行为促进工作相关的设施。</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公安、交通、住建、文化和旅游、生态环境等行政管理部门应当根据文明行为促进工作需要，采取有效措施，制止和纠正相关领域不文明行为。</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教育行政管理部门和教育机构应当将文明行为规范纳入教育、教学内容，培养未成年人文明习惯和文明风气。</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卫生健康行政管理部门和医疗卫生机构应当将文明行医纳入医疗管理工作规范，加强医护人员职业道德建设，维护文明就医秩序。</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司法行政、市场监管、工信、住建等行政管理部门，应当利用报刊杂志、广播电视、网络媒体、移动客户端、户外广告设施等媒介宣传文明行为规范，传播文明行为先进事迹。</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报刊、广播、电视、网络等新闻媒体应当宣传文明行为促进工作，通过刊播公益广告、宣传先进典型等方式，引导公民实施文明行为，曝光不文明现象。</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窗口服务行业、单位应当根据本行业、本单位的特点，依法制定相关文明行为规范，提升服务效能，树立文明形象。</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机场、车站等交通枢纽，医院、商业综合体、旅游景区、娱乐场所、文化体育场馆等公共场所，应当设立无障碍通道和残疾人专用卫生间，配备必要的急救药品、便民设备。符合相关标准条件的应当设置母婴室。</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国家机关、企业事业单位和其他组织应当对其工作场所、营业场所或者服务区域范围内的不文明行为进行劝阻、制止；对其中属于违法行为的，应当及时告知有关行政、执法管理部门，并协助取证。</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公民有权对不文明行为依法进行劝阻、举报。</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市、县（市）区人民政府应当根据本条例和相关法律法规，完善检查监督、教育指导、诚信激励、失信惩戒、联合执法等文明行为促进工作机制。</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市、县（市）区人民政府有关主管部门，应当依托</w:t>
      </w:r>
      <w:r>
        <w:rPr>
          <w:rStyle w:val="C3"/>
          <w:rFonts w:ascii="仿宋_GB2312" w:hAnsi="仿宋_GB2312"/>
          <w:sz w:val="32"/>
        </w:rPr>
        <w:t>“</w:t>
      </w:r>
      <w:r>
        <w:rPr>
          <w:rStyle w:val="C3"/>
          <w:rFonts w:ascii="Microsoft YaHei UI" w:hAnsi="Microsoft YaHei UI"/>
          <w:sz w:val="32"/>
        </w:rPr>
        <w:t>民心网（</w:t>
      </w:r>
      <w:r>
        <w:rPr>
          <w:rStyle w:val="C3"/>
          <w:rFonts w:ascii="仿宋_GB2312" w:hAnsi="仿宋_GB2312"/>
          <w:sz w:val="32"/>
        </w:rPr>
        <w:t>8890</w:t>
      </w:r>
      <w:r>
        <w:rPr>
          <w:rStyle w:val="C3"/>
          <w:rFonts w:ascii="Microsoft YaHei UI" w:hAnsi="Microsoft YaHei UI"/>
          <w:sz w:val="32"/>
        </w:rPr>
        <w:t>）民生问题大数据平台</w:t>
      </w:r>
      <w:r>
        <w:rPr>
          <w:rStyle w:val="C3"/>
          <w:rFonts w:ascii="仿宋_GB2312" w:hAnsi="仿宋_GB2312"/>
          <w:sz w:val="32"/>
        </w:rPr>
        <w:t>”</w:t>
      </w:r>
      <w:r>
        <w:rPr>
          <w:rStyle w:val="C3"/>
          <w:rFonts w:ascii="Microsoft YaHei UI" w:hAnsi="Microsoft YaHei UI"/>
          <w:sz w:val="32"/>
        </w:rPr>
        <w:t>，受理不文明行为的投诉、举报。</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承担文明行为促进工作职责的有关行政管理部门和单位，可以聘请文明行为劝导员、监督员，协助做好文明行为的宣传、引导和不文明行为的劝阻、依法制止等工作。</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关部门应当对社会反响强烈、群众反映集中的不文明行为重点监管，对情节严重、影响恶劣的不文明行为，采取适当方式在适当范围和时限内依法予以曝光，必要时可以向行为人所在单位或者上级主管部门通报。</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市、县（市）区精神文明建设指导委员会办事部门应当开展社会文明程度监测工作，并对文明村镇、文明单位、文明家庭、文明校园进行考核。</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市、县（市）区精神文明建设指导委员会办事部门应当会同有关主管部门建立健全表彰、奖励制度，对在文明行为促进活动中作出贡献的单位和个人进行表彰、奖励。</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违反本条例规定实施不文明行为，其他法律、法规已有处理规定的，从其规定。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采取威胁、侮辱、殴打等方式打击报复不文明行为劝阻人、投诉人、举报人的，由公安机关依照《中华人民共和国治安管理处罚法》的规定予以处罚；构成犯罪的，依法追究刑事责任。</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国家机关及其工作人员在文明行为促进工作中有下列行为之一的，由其上级主管部门或者所在单位责令改正，通报批评；情节严重的，对直接负责的主管人员和其他直接负责人员予以处分：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（一）对有关设施、场所疏于规划、建设、管理、维护，致使供给严重不足、设施严重残缺或者丧失功能的；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（二）未依法及时受理投诉举报或者未及时调查、处理的；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（三）未依法实施监督管理的；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（四）推进本辖区、本行业文明行为促进工作明显不力的；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（五）其他不履行或者不正确履行职责的行为。</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宋体" w:hAnsi="宋体"/>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firstLine="622"/>
        <w:rPr>
          <w:rStyle w:val="C3"/>
          <w:rFonts w:ascii="宋体" w:hAnsi="宋体"/>
          <w:sz w:val="32"/>
        </w:rPr>
      </w:pPr>
    </w:p>
    <w:p>
      <w:pPr>
        <w:pStyle w:val="P1"/>
        <w:spacing w:lineRule="exact" w:line="560"/>
        <w:ind w:firstLine="622"/>
        <w:rPr>
          <w:rStyle w:val="C3"/>
          <w:rFonts w:ascii="宋体" w:hAnsi="宋体"/>
          <w:sz w:val="32"/>
        </w:rPr>
      </w:pPr>
    </w:p>
    <w:p>
      <w:pPr>
        <w:pStyle w:val="P1"/>
        <w:spacing w:lineRule="exact" w:line="560"/>
        <w:ind w:firstLine="622"/>
        <w:rPr>
          <w:rStyle w:val="C3"/>
          <w:rFonts w:ascii="宋体" w:hAnsi="宋体"/>
          <w:sz w:val="32"/>
        </w:rPr>
      </w:pPr>
    </w:p>
    <w:p>
      <w:pPr>
        <w:pStyle w:val="P1"/>
        <w:spacing w:lineRule="exact" w:line="560"/>
        <w:ind w:firstLine="622"/>
        <w:rPr>
          <w:rStyle w:val="C3"/>
          <w:rFonts w:ascii="宋体" w:hAnsi="宋体"/>
          <w:sz w:val="32"/>
        </w:rPr>
      </w:pPr>
    </w:p>
    <w:p>
      <w:pPr>
        <w:pStyle w:val="P1"/>
        <w:spacing w:lineRule="exact" w:line="560"/>
        <w:ind w:firstLine="622"/>
        <w:rPr>
          <w:rStyle w:val="C3"/>
          <w:rFonts w:ascii="宋体" w:hAnsi="宋体"/>
          <w:sz w:val="32"/>
        </w:rPr>
      </w:pPr>
    </w:p>
    <w:p>
      <w:pPr>
        <w:pStyle w:val="P1"/>
        <w:spacing w:lineRule="exact" w:line="560"/>
        <w:ind w:firstLine="622"/>
        <w:rPr>
          <w:rStyle w:val="C3"/>
          <w:rFonts w:ascii="宋体" w:hAnsi="宋体"/>
          <w:sz w:val="32"/>
        </w:rPr>
      </w:pPr>
    </w:p>
    <w:p>
      <w:pPr>
        <w:pStyle w:val="P1"/>
        <w:spacing w:lineRule="exact" w:line="560"/>
        <w:ind w:firstLine="622"/>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ind w:firstLine="622"/>
        <w:jc w:val="center"/>
        <w:rPr>
          <w:rStyle w:val="C3"/>
          <w:rFonts w:ascii="宋体" w:hAnsi="宋体"/>
          <w:sz w:val="32"/>
        </w:rPr>
      </w:pPr>
    </w:p>
    <w:sectPr>
      <w:footerReference xmlns:r="http://schemas.openxmlformats.org/officeDocument/2006/relationships" w:type="default" r:id="RelFtr1"/>
      <w:type w:val="nextPage"/>
      <w:pgSz w:w="11906" w:h="16838" w:code="0"/>
      <w:pgMar w:left="1588" w:right="1531" w:top="2098" w:bottom="2098" w:header="851" w:footer="1446"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jc w:val="center"/>
      <w:outlineLvl w:val="0"/>
    </w:pPr>
    <w:rPr>
      <w:rFonts w:ascii="Calibri" w:hAnsi="Calibri"/>
      <w:sz w:val="32"/>
    </w:rPr>
  </w:style>
  <w:style w:type="paragraph" w:styleId="P3">
    <w:name w:val="标题 2"/>
    <w:basedOn w:val="P1"/>
    <w:next w:val="P1"/>
    <w:link w:val="C5"/>
    <w:pPr>
      <w:keepNext w:val="1"/>
      <w:keepLines w:val="1"/>
      <w:spacing w:lineRule="exact" w:line="560"/>
      <w:ind w:firstLine="640"/>
      <w:outlineLvl w:val="1"/>
    </w:pPr>
    <w:rPr>
      <w:rFonts w:ascii="Arial" w:hAnsi="Arial"/>
      <w:sz w:val="32"/>
    </w:rPr>
  </w:style>
  <w:style w:type="paragraph" w:styleId="P4">
    <w:name w:val="标题 3"/>
    <w:basedOn w:val="P1"/>
    <w:next w:val="P1"/>
    <w:link w:val="C6"/>
    <w:pPr>
      <w:keepNext w:val="1"/>
      <w:keepLines w:val="1"/>
      <w:spacing w:lineRule="exact" w:line="560" w:before="624" w:after="312"/>
      <w:jc w:val="center"/>
      <w:outlineLvl w:val="2"/>
    </w:pPr>
    <w:rPr>
      <w:b w:val="1"/>
      <w:sz w:val="32"/>
    </w:rPr>
  </w:style>
  <w:style w:type="paragraph" w:styleId="P5">
    <w:name w:val="页眉"/>
    <w:basedOn w:val="P1"/>
    <w:next w:val="P5"/>
    <w:link w:val="C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目录 1"/>
    <w:basedOn w:val="P1"/>
    <w:next w:val="P1"/>
    <w:pPr>
      <w:spacing w:lineRule="exact" w:line="560"/>
      <w:ind w:left="630" w:right="630"/>
    </w:pPr>
    <w:rPr>
      <w:sz w:val="32"/>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目录"/>
    <w:basedOn w:val="P1"/>
    <w:next w:val="P8"/>
    <w:pPr>
      <w:spacing w:lineRule="exact" w:line="560"/>
      <w:ind w:firstLine="64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字符"/>
    <w:link w:val="P2"/>
    <w:rPr>
      <w:rFonts w:ascii="Calibri" w:hAnsi="Calibri"/>
      <w:sz w:val="32"/>
    </w:rPr>
  </w:style>
  <w:style w:type="character" w:styleId="C5">
    <w:name w:val="标题 2 字符"/>
    <w:link w:val="P3"/>
    <w:rPr>
      <w:rFonts w:ascii="Arial" w:hAnsi="Arial"/>
      <w:sz w:val="32"/>
    </w:rPr>
  </w:style>
  <w:style w:type="character" w:styleId="C6">
    <w:name w:val="标题 3 字符"/>
    <w:link w:val="P4"/>
    <w:rPr>
      <w:b w:val="1"/>
      <w:sz w:val="32"/>
    </w:rPr>
  </w:style>
  <w:style w:type="character" w:styleId="C7">
    <w:name w:val="页脚 字符"/>
    <w:link w:val="P7"/>
    <w:rPr>
      <w:sz w:val="18"/>
    </w:rPr>
  </w:style>
  <w:style w:type="character" w:styleId="C8">
    <w:name w:val="页眉 字符"/>
    <w:link w:val="P5"/>
    <w:rPr>
      <w:sz w:val="18"/>
    </w:rPr>
  </w:style>
  <w:style w:type="character" w:styleId="C9">
    <w:name w:val="Page Number1"/>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2020-05-11T06:47:00Z</dcterms:created>
  <cp:lastModifiedBy>f1TZOF\f1TZOF-</cp:lastModifiedBy>
  <dcterms:modified xsi:type="dcterms:W3CDTF">2024-08-28T01:36:58Z</dcterms:modified>
  <cp:revision>2</cp:revision>
  <dc:title>向左♀向右</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