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2CCC66" Type="http://schemas.openxmlformats.org/officeDocument/2006/relationships/officeDocument" Target="/word/document.xml" /><Relationship Id="coreR2D2CCC66" Type="http://schemas.openxmlformats.org/package/2006/relationships/metadata/core-properties" Target="/docProps/core.xml" /><Relationship Id="customR2D2CCC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rPr>
          <w:rStyle w:val="C3"/>
          <w:rFonts w:ascii="仿宋_GB2312" w:hAnsi="仿宋_GB2312"/>
          <w:sz w:val="32"/>
        </w:rPr>
      </w:pPr>
    </w:p>
    <w:p>
      <w:pPr>
        <w:pStyle w:val="P8"/>
        <w:spacing w:lineRule="exact" w:line="600"/>
        <w:jc w:val="center"/>
        <w:rPr>
          <w:rStyle w:val="C3"/>
          <w:rFonts w:ascii="方正小标宋简体" w:hAnsi="方正小标宋简体"/>
          <w:sz w:val="42"/>
        </w:rPr>
      </w:pPr>
      <w:r>
        <w:rPr>
          <w:rStyle w:val="C3"/>
          <w:rFonts w:ascii="Microsoft YaHei UI" w:hAnsi="Microsoft YaHei UI"/>
          <w:sz w:val="42"/>
        </w:rPr>
        <w:t>莫力达瓦达斡尔族自治旗旅游条例</w:t>
      </w:r>
    </w:p>
    <w:p>
      <w:pPr>
        <w:pStyle w:val="P8"/>
        <w:spacing w:lineRule="exact" w:line="600"/>
        <w:ind w:firstLine="840"/>
        <w:rPr>
          <w:rStyle w:val="C3"/>
          <w:rFonts w:ascii="方正小标宋简体" w:hAnsi="方正小标宋简体"/>
          <w:sz w:val="42"/>
        </w:rPr>
      </w:pPr>
    </w:p>
    <w:p>
      <w:pPr>
        <w:pStyle w:val="P8"/>
        <w:keepNext w:val="0"/>
        <w:keepLines w:val="0"/>
        <w:widowControl w:val="0"/>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日莫力达瓦达斡尔族自治旗第十三届人民代表大会第四次会议通过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日内蒙古自治区第十三届人民代表大会常务委员会第二十次会议批准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日内蒙古自治区第十三届人民代表大会常务委员会第三十五次会议关于批准《莫力达瓦达斡尔族自治旗人民代表大会关于修改〈莫力达瓦达斡尔族自治旗达斡尔民族民间传统文化保护条例〉等</w:t>
      </w:r>
      <w:r>
        <w:rPr>
          <w:rStyle w:val="C3"/>
          <w:rFonts w:ascii="楷体_GB2312" w:hAnsi="楷体_GB2312"/>
          <w:sz w:val="32"/>
        </w:rPr>
        <w:t>4</w:t>
      </w:r>
      <w:r>
        <w:rPr>
          <w:rStyle w:val="C3"/>
          <w:rFonts w:ascii="Microsoft YaHei UI" w:hAnsi="Microsoft YaHei UI"/>
          <w:sz w:val="32"/>
        </w:rPr>
        <w:t>部单行条例的决定》的决议修正）</w:t>
      </w:r>
    </w:p>
    <w:p>
      <w:pPr>
        <w:pStyle w:val="P8"/>
        <w:spacing w:lineRule="exact" w:line="600"/>
        <w:ind w:firstLine="64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合理开发利用旅游资源，维护旅游者和旅游经营者的合法权益，加强旅游业的管理，促进旅游业的持续健康发展，根据《中华人民共和国旅游法》《旅行社条例》《内蒙古自治区旅游条例》等法律、法规，结合自治旗实际，制定本条例。</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在自治旗行政区域内开发旅游资源，从事旅游经营，进行旅游活动，实施旅游监督管理和服务，适用本条例。</w:t>
      </w:r>
    </w:p>
    <w:p>
      <w:pPr>
        <w:pStyle w:val="P8"/>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自治旗人民政府应当加强对本行政区域内旅游业发展的组织领导，将旅游业发展纳入国民经济和社会发展规划，加大对旅游业的投入和扶持力度，优化旅游业发展环境，促进旅游业与相关产业融合发展。</w:t>
      </w:r>
    </w:p>
    <w:p>
      <w:pPr>
        <w:pStyle w:val="P8"/>
        <w:spacing w:lineRule="exact" w:line="580"/>
        <w:ind w:firstLine="640"/>
        <w:rPr>
          <w:rStyle w:val="C3"/>
          <w:rFonts w:ascii="仿宋_GB2312" w:hAnsi="仿宋_GB2312"/>
          <w:sz w:val="32"/>
        </w:rPr>
      </w:pPr>
      <w:r>
        <w:rPr>
          <w:rStyle w:val="C3"/>
          <w:rFonts w:ascii="Microsoft YaHei UI" w:hAnsi="Microsoft YaHei UI"/>
          <w:sz w:val="32"/>
        </w:rPr>
        <w:t>乡镇人民政府协助自治旗人民政府及其有关部门做好本行政区域内的旅游资源保护利用、旅游产业发展、旅游安全监督、旅游环境秩序维护等工作。</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自治旗人民政府文化和旅游行政主管部门负责自治旗旅游业的统筹协调、行业指导、旅游推广、公共服务和监督管理工作。</w:t>
      </w:r>
    </w:p>
    <w:p>
      <w:pPr>
        <w:pStyle w:val="P8"/>
        <w:spacing w:lineRule="exact" w:line="580"/>
        <w:ind w:firstLine="640"/>
        <w:rPr>
          <w:rStyle w:val="C3"/>
          <w:rFonts w:ascii="仿宋_GB2312" w:hAnsi="仿宋_GB2312"/>
          <w:sz w:val="32"/>
        </w:rPr>
      </w:pPr>
      <w:r>
        <w:rPr>
          <w:rStyle w:val="C3"/>
          <w:rFonts w:ascii="Microsoft YaHei UI" w:hAnsi="Microsoft YaHei UI"/>
          <w:sz w:val="32"/>
        </w:rPr>
        <w:t>公安、交通运输、发展和改革、市场监督管理、工业和信息化、住房和城乡建设、自然资源、应急管理、卫生健康等有关部门按照各自职责做好保障和促进旅游业发展以及旅游监督管理等相关工作。</w:t>
      </w:r>
    </w:p>
    <w:p>
      <w:pPr>
        <w:pStyle w:val="P8"/>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自治旗人民政府应当组织文化和旅游行政主管部门和相关部门编制自治旗旅游发展规划，依照规定程序上报批准后组织实施。</w:t>
      </w:r>
    </w:p>
    <w:p>
      <w:pPr>
        <w:pStyle w:val="P8"/>
        <w:spacing w:lineRule="exact" w:line="580"/>
        <w:ind w:firstLine="640"/>
        <w:rPr>
          <w:rStyle w:val="C3"/>
          <w:rFonts w:ascii="仿宋_GB2312" w:hAnsi="仿宋_GB2312"/>
          <w:sz w:val="32"/>
        </w:rPr>
      </w:pPr>
      <w:r>
        <w:rPr>
          <w:rStyle w:val="C3"/>
          <w:rFonts w:ascii="Microsoft YaHei UI" w:hAnsi="Microsoft YaHei UI"/>
          <w:sz w:val="32"/>
        </w:rPr>
        <w:t>编制自治旗旅游发展规划应当执行国家和自治区有关法律法规的规定。</w:t>
      </w:r>
    </w:p>
    <w:p>
      <w:pPr>
        <w:pStyle w:val="P8"/>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开发旅游资源，新建、改建或者扩建旅游景区景点，应当符合自治旗旅游发展规划及其他相关规划。</w:t>
      </w:r>
    </w:p>
    <w:p>
      <w:pPr>
        <w:pStyle w:val="P8"/>
        <w:spacing w:lineRule="exact" w:line="580"/>
        <w:ind w:firstLine="640"/>
        <w:rPr>
          <w:rStyle w:val="C3"/>
          <w:rFonts w:ascii="仿宋_GB2312" w:hAnsi="仿宋_GB2312"/>
          <w:sz w:val="32"/>
        </w:rPr>
      </w:pPr>
      <w:r>
        <w:rPr>
          <w:rStyle w:val="C3"/>
          <w:rFonts w:ascii="Microsoft YaHei UI" w:hAnsi="Microsoft YaHei UI"/>
          <w:sz w:val="32"/>
        </w:rPr>
        <w:t>新建、改建或者扩建的旅游景区景点，依法需要验收的，应当经过有关行政主管部门验收合格后，方可对旅游者开放。</w:t>
      </w:r>
    </w:p>
    <w:p>
      <w:pPr>
        <w:pStyle w:val="P8"/>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自治旗重点开发达各民族优秀传统文化、红色革命文化及生态、民俗、水域等优势旅游资源，建设特色精品旅游景区景点，加强智慧旅游建设，举办具有民族特色的节庆活动，促进全域和四季旅游发展。</w:t>
      </w:r>
    </w:p>
    <w:p>
      <w:pPr>
        <w:pStyle w:val="P8"/>
        <w:spacing w:lineRule="exact" w:line="580"/>
        <w:ind w:firstLine="640"/>
        <w:rPr>
          <w:rStyle w:val="C3"/>
          <w:rFonts w:ascii="仿宋_GB2312" w:hAnsi="仿宋_GB2312"/>
          <w:sz w:val="32"/>
        </w:rPr>
      </w:pPr>
      <w:r>
        <w:rPr>
          <w:rStyle w:val="C3"/>
          <w:rFonts w:ascii="Microsoft YaHei UI" w:hAnsi="Microsoft YaHei UI"/>
          <w:sz w:val="32"/>
        </w:rPr>
        <w:t>自治旗对本行政区域内的尼尔基湖环湖陆地、森林、草场和嫩江、诺敏河、甘河等重要旅游资源，实施重点保护和合理开发利用。</w:t>
      </w:r>
    </w:p>
    <w:p>
      <w:pPr>
        <w:pStyle w:val="P8"/>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自治旗人民政府应当设立旅游发展专项资金，并列入年度财政预算，用于旅游宣传促销、旅游规划编制和旅游基础设施建设等。</w:t>
      </w: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自治旗人民政府应当建立健全旅游工作协调机制，研究旅游业发展的重要事项，协调解决跨地区、跨行业旅游资源的开发利用、旅游线路规划和旅游产品的宣传。</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自治旗人民政府应当制定优惠政策，鼓励国内外组织和个人投资开发旅游资源，兴办旅游企业。</w:t>
      </w:r>
    </w:p>
    <w:p>
      <w:pPr>
        <w:pStyle w:val="P8"/>
        <w:spacing w:lineRule="exact" w:line="580"/>
        <w:ind w:firstLine="640"/>
        <w:rPr>
          <w:rStyle w:val="C3"/>
          <w:rFonts w:ascii="仿宋_GB2312" w:hAnsi="仿宋_GB2312"/>
          <w:sz w:val="32"/>
        </w:rPr>
      </w:pPr>
      <w:r>
        <w:rPr>
          <w:rStyle w:val="C3"/>
          <w:rFonts w:ascii="Microsoft YaHei UI" w:hAnsi="Microsoft YaHei UI"/>
          <w:sz w:val="32"/>
        </w:rPr>
        <w:t>自治旗人民政府鼓励开发、设计、生产、宣传、销售具有各民族优秀文化特色和地方标志性、时尚性、实用性、独特性的旅游商品。</w:t>
      </w:r>
    </w:p>
    <w:p>
      <w:pPr>
        <w:pStyle w:val="P8"/>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自治旗支持在少数民族聚居村、传统村落和旅游特色村发展乡村旅游，为旅游者提供民宿旅游服务。</w:t>
      </w:r>
    </w:p>
    <w:p>
      <w:pPr>
        <w:pStyle w:val="P8"/>
        <w:spacing w:lineRule="exact" w:line="580"/>
        <w:ind w:firstLine="640"/>
        <w:rPr>
          <w:rStyle w:val="C3"/>
          <w:rFonts w:ascii="仿宋_GB2312" w:hAnsi="仿宋_GB2312"/>
          <w:sz w:val="32"/>
        </w:rPr>
      </w:pPr>
      <w:r>
        <w:rPr>
          <w:rStyle w:val="C3"/>
          <w:rFonts w:ascii="Microsoft YaHei UI" w:hAnsi="Microsoft YaHei UI"/>
          <w:sz w:val="32"/>
        </w:rPr>
        <w:t>自治旗倡导寻根旅游、乡村旅游、康养旅游、休闲旅游与民宿旅游相结合。</w:t>
      </w:r>
    </w:p>
    <w:p>
      <w:pPr>
        <w:pStyle w:val="P8"/>
        <w:spacing w:lineRule="exact" w:line="580"/>
        <w:ind w:firstLine="640"/>
        <w:rPr>
          <w:rStyle w:val="C3"/>
          <w:rFonts w:ascii="仿宋_GB2312" w:hAnsi="仿宋_GB2312"/>
          <w:sz w:val="32"/>
        </w:rPr>
      </w:pPr>
      <w:r>
        <w:rPr>
          <w:rStyle w:val="C3"/>
          <w:rFonts w:ascii="Microsoft YaHei UI" w:hAnsi="Microsoft YaHei UI"/>
          <w:sz w:val="32"/>
        </w:rPr>
        <w:t>自治旗人民政府应当定期召集公安、住房和城乡建设、消防、卫生健康、市场监督管理、文化和旅游等部门解决民宿旅游发展中遇到的问题。</w:t>
      </w:r>
    </w:p>
    <w:p>
      <w:pPr>
        <w:pStyle w:val="P8"/>
        <w:spacing w:lineRule="exact" w:line="580"/>
        <w:ind w:firstLine="640"/>
        <w:rPr>
          <w:rStyle w:val="C3"/>
          <w:rFonts w:ascii="仿宋_GB2312" w:hAnsi="仿宋_GB2312"/>
          <w:sz w:val="32"/>
        </w:rPr>
      </w:pPr>
      <w:r>
        <w:rPr>
          <w:rStyle w:val="C3"/>
          <w:rFonts w:ascii="Microsoft YaHei UI" w:hAnsi="Microsoft YaHei UI"/>
          <w:sz w:val="32"/>
        </w:rPr>
        <w:t>取得经营许可的民宿旅游经营者，应当定期向自治旗人民政府文化和旅游主管部门报送统计调查数据，并及时向相关部门上报突发事件等信息。</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自治旗人民政府以及自治旗广播电视、报刊杂志及网络等媒体，应当加强旅游宣传。重点宣传自治旗旅游资源优势、旅游产品特色和旅游开发的各项政策，提高自治旗旅游业和旅游产品的知名度、美誉度。</w:t>
      </w:r>
    </w:p>
    <w:p>
      <w:pPr>
        <w:pStyle w:val="P8"/>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自治旗人民政府应当制定和实施促进旅游消费的政策措施，落实各项休假制度，免费开放政府投资的公园、博物馆、纪念馆，指导利用公共资源建设的景区低价开放或者免费开放，鼓励开发适合大众消费的旅游产品。</w:t>
      </w:r>
    </w:p>
    <w:p>
      <w:pPr>
        <w:pStyle w:val="P8"/>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自治旗人民政府实施旅游人才培养工程，鼓励支持培养旅游经营管理、专业技术、非遗传承人、旅游文创、服务技能、导游、解说和乡村旅游等各类旅游人才，引进高层次文化旅游人才，提高旅游从业人员素质。</w:t>
      </w:r>
    </w:p>
    <w:p>
      <w:pPr>
        <w:pStyle w:val="P8"/>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从事旅游经营活动应当依法办理工商登记。法律、法规规定需要经有关主管部门许可的，应当取得相应的经营许可。</w:t>
      </w:r>
    </w:p>
    <w:p>
      <w:pPr>
        <w:pStyle w:val="P8"/>
        <w:spacing w:lineRule="exact" w:line="580"/>
        <w:ind w:firstLine="640"/>
        <w:rPr>
          <w:rStyle w:val="C3"/>
          <w:rFonts w:ascii="仿宋_GB2312" w:hAnsi="仿宋_GB2312"/>
          <w:sz w:val="32"/>
        </w:rPr>
      </w:pPr>
      <w:r>
        <w:rPr>
          <w:rStyle w:val="C3"/>
          <w:rFonts w:ascii="Microsoft YaHei UI" w:hAnsi="Microsoft YaHei UI"/>
          <w:sz w:val="32"/>
        </w:rPr>
        <w:t>未取得旅行社业务经营许可的单位和个人，不得利用网络社交工具、行业组织、学会、车友会、驴友会、俱乐部等形式，从事旅行社经营业务。</w:t>
      </w:r>
    </w:p>
    <w:p>
      <w:pPr>
        <w:pStyle w:val="P8"/>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通过网络经营旅行社业务的，应当依法取得旅行社业务经营许可，并在其网站主页的显著位置标明其业务经营许可证信息。</w:t>
      </w:r>
    </w:p>
    <w:p>
      <w:pPr>
        <w:pStyle w:val="P8"/>
        <w:spacing w:lineRule="exact" w:line="580"/>
        <w:ind w:firstLine="640"/>
        <w:rPr>
          <w:rStyle w:val="C3"/>
          <w:rFonts w:ascii="仿宋_GB2312" w:hAnsi="仿宋_GB2312"/>
          <w:sz w:val="32"/>
        </w:rPr>
      </w:pPr>
      <w:r>
        <w:rPr>
          <w:rStyle w:val="C3"/>
          <w:rFonts w:ascii="Microsoft YaHei UI" w:hAnsi="Microsoft YaHei UI"/>
          <w:sz w:val="32"/>
        </w:rPr>
        <w:t>发布旅游经营信息的网站，应当保证其信息真实、准确。</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旅游经营者应当公开服务项目和收费标准，不得以任何手段欺骗或者误导旅游者。</w:t>
      </w:r>
    </w:p>
    <w:p>
      <w:pPr>
        <w:pStyle w:val="P8"/>
        <w:spacing w:lineRule="exact" w:line="580"/>
        <w:ind w:firstLine="640"/>
        <w:rPr>
          <w:rStyle w:val="C3"/>
          <w:rFonts w:ascii="仿宋_GB2312" w:hAnsi="仿宋_GB2312"/>
          <w:sz w:val="32"/>
        </w:rPr>
      </w:pPr>
      <w:r>
        <w:rPr>
          <w:rStyle w:val="C3"/>
          <w:rFonts w:ascii="Microsoft YaHei UI" w:hAnsi="Microsoft YaHei UI"/>
          <w:sz w:val="32"/>
        </w:rPr>
        <w:t>旅游经营者应当按照价格管理部门确定的收费项目和标准收费，不得擅自扩大收费范围或者提高收费标准。</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旅游景区景点内开展文化娱乐活动，内容应当健康，注重培育非物质文化遗产传承人文化展演等特色活动，弘扬民族文化，培育和践行社会主义核心价值观。</w:t>
      </w: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旅游景区景点经营者应当建立健全管理机构，制定规章制度，做好景区景点环境卫生、社会治安、商业和服务业的管理工作。</w:t>
      </w: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在旅游景区景点从事经营活动的单位和个人，应当服从有关部门的管理，在指定的地点经营，不得非法圈占景区景点进行经营。</w:t>
      </w:r>
    </w:p>
    <w:p>
      <w:pPr>
        <w:pStyle w:val="P8"/>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自治旗人民政府文化和旅游行政主管部门会同有关部门，对旅游景区景点的安全管理工作进行指导、督促和检查，组织实施旅游安全宣传教育和相关人员的培训，协调、参与处理旅游安全事故。</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旅游经营者应当建立旅游安全管理责任制度，明确安全管理机构、专门人员，进行安全培训，配备安全设备和设施，制定旅游安全应急预案并组织演练，保障旅游者的人身、财产安全。</w:t>
      </w:r>
    </w:p>
    <w:p>
      <w:pPr>
        <w:pStyle w:val="P8"/>
        <w:spacing w:lineRule="exact" w:line="580"/>
        <w:ind w:firstLine="640"/>
        <w:rPr>
          <w:rStyle w:val="C3"/>
          <w:rFonts w:ascii="仿宋_GB2312" w:hAnsi="仿宋_GB2312"/>
          <w:sz w:val="32"/>
        </w:rPr>
      </w:pPr>
      <w:r>
        <w:rPr>
          <w:rStyle w:val="C3"/>
          <w:rFonts w:ascii="Microsoft YaHei UI" w:hAnsi="Microsoft YaHei UI"/>
          <w:sz w:val="32"/>
        </w:rPr>
        <w:t>旅游经营者对旅游设备设施和游览地可能存在的危险，应当向旅游者作出说明，并设立警示标志，采取防范措施，防止危害的发生。</w:t>
      </w:r>
    </w:p>
    <w:p>
      <w:pPr>
        <w:pStyle w:val="P8"/>
        <w:spacing w:lineRule="exact" w:line="580"/>
        <w:ind w:firstLine="640"/>
        <w:rPr>
          <w:rStyle w:val="C3"/>
          <w:rFonts w:ascii="仿宋_GB2312" w:hAnsi="仿宋_GB2312"/>
          <w:sz w:val="32"/>
        </w:rPr>
      </w:pPr>
      <w:r>
        <w:rPr>
          <w:rStyle w:val="C3"/>
          <w:rFonts w:ascii="Microsoft YaHei UI" w:hAnsi="Microsoft YaHei UI"/>
          <w:sz w:val="32"/>
        </w:rPr>
        <w:t>发生突发事件或者旅游安全事故，旅游经营者及其从业人员应当及时采取必要的救助和处置措施，依法履行报告义务，并对旅游者作出妥善安排。</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违反本条例规定，依据《中华人民共和国旅游法》《旅行社条例》《内蒙古自治区旅游条例》的相关规定追究其法律责任。</w:t>
      </w:r>
    </w:p>
    <w:p>
      <w:pPr>
        <w:pStyle w:val="P8"/>
        <w:spacing w:lineRule="exact" w:line="580"/>
        <w:ind w:firstLine="640"/>
        <w:rPr>
          <w:rStyle w:val="C3"/>
          <w:rFonts w:ascii="楷体_GB2312" w:hAnsi="楷体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rPr>
          <w:rStyle w:val="C3"/>
          <w:rFonts w:ascii="楷体_GB2312" w:hAnsi="楷体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33855"/>
                <wp:wrapNone/>
                <wp:docPr id="1" name="Text Box 1"/>
                <a:graphic xmlns:a="http://schemas.openxmlformats.org/drawingml/2006/main">
                  <a:graphicData uri="http://schemas.microsoft.com/office/word/2010/wordprocessingShape">
                    <wps:wsp>
                      <wps:cNvSpPr/>
                      <wps:spPr>
                        <a:xfrm>
                          <a:off x="0" y="0"/>
                          <a:ext cx="591185" cy="1633855"/>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8.65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2022-06-21T02:23:00Z</dcterms:created>
  <cp:lastModifiedBy>f1TZOF\f1TZOF-</cp:lastModifiedBy>
  <cp:lastPrinted>2022-06-21T03:45:00Z</cp:lastPrinted>
  <dcterms:modified xsi:type="dcterms:W3CDTF">2024-08-28T01:36:59Z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