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41C4E" Type="http://schemas.openxmlformats.org/officeDocument/2006/relationships/officeDocument" Target="/word/document.xml" /><Relationship Id="coreR3B41C4E" Type="http://schemas.openxmlformats.org/package/2006/relationships/metadata/core-properties" Target="/docProps/core.xml" /><Relationship Id="customR3B41C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山西省工程建设项目招标投标条例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日山西省第十届人民代表大会常务委员会第二十次会议通过）</w:t>
      </w:r>
      <w:r>
        <w:rPr>
          <w:rStyle w:val="C3"/>
          <w:rFonts w:ascii="楷体_GB2312" w:hAnsi="楷体_GB2312"/>
          <w:sz w:val="32"/>
        </w:rPr>
        <w:t xml:space="preserve"> </w:t>
      </w:r>
    </w:p>
    <w:p>
      <w:pPr>
        <w:pStyle w:val="P1"/>
        <w:spacing w:lineRule="exact" w:line="578"/>
        <w:rPr>
          <w:rStyle w:val="C3"/>
          <w:rFonts w:ascii="仿宋" w:hAnsi="仿宋"/>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工程建设项目招标投标活动，保护国家利益、社会公共利益和招标投标活动当事人的合法权益，提高经济效益，保证项目质量，根据《中华人民共和国招标投标法》和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在本省行政区域内进行工程建设项目招标投标活动，适用本条例。</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下列工程建设项目包括项目的勘察、设计、施工、监理以及与工程建设有关的重要设备、材料等的采购，必须进行招标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（一）大型基础设施、公用事业等关系社会公共利益、公众安全的项目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（二）全部或者部分使用国有资金投资或者国家融资的项目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（三）使用国际组织或者外国政府贷款、援助资金的项目。</w:t>
      </w:r>
    </w:p>
    <w:p>
      <w:pPr>
        <w:pStyle w:val="P1"/>
        <w:spacing w:lineRule="exact" w:line="578"/>
        <w:ind w:firstLine="640"/>
        <w:rPr>
          <w:rStyle w:val="C3"/>
          <w:rFonts w:ascii="仿宋_GB2312" w:hAnsi="仿宋_GB2312"/>
          <w:sz w:val="32"/>
        </w:rPr>
      </w:pPr>
      <w:r>
        <w:rPr>
          <w:rStyle w:val="C3"/>
          <w:rFonts w:ascii="Microsoft YaHei UI" w:hAnsi="Microsoft YaHei UI"/>
          <w:sz w:val="32"/>
        </w:rPr>
        <w:t>前款所列项目的具体范围和规模标准，国家有规定的，从其规定</w:t>
      </w:r>
      <w:r>
        <w:rPr>
          <w:rStyle w:val="C3"/>
          <w:rFonts w:ascii="仿宋_GB2312" w:hAnsi="仿宋_GB2312"/>
          <w:sz w:val="32"/>
        </w:rPr>
        <w:t>;</w:t>
      </w:r>
      <w:r>
        <w:rPr>
          <w:rStyle w:val="C3"/>
          <w:rFonts w:ascii="Microsoft YaHei UI" w:hAnsi="Microsoft YaHei UI"/>
          <w:sz w:val="32"/>
        </w:rPr>
        <w:t>从本省实际出发需要作补充规定的，由省人民政府发展和改革行政主管部门会同省人民政府有关部门制定，报省人民政府批准。</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工程建设项目招标投标活动应当遵循公开、公平、公正和诚实信用的原则。</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工程建设招标项目的审批、核准、备案，招标方案的核准，招标代理机构资质的认定，按照国家有关规定需要履行有关手续的，应当先履行手续，取得批准。</w:t>
      </w:r>
    </w:p>
    <w:p>
      <w:pPr>
        <w:pStyle w:val="P1"/>
        <w:spacing w:lineRule="exact" w:line="578"/>
        <w:ind w:firstLine="640"/>
        <w:rPr>
          <w:rStyle w:val="C3"/>
          <w:rFonts w:ascii="仿宋_GB2312" w:hAnsi="仿宋_GB2312"/>
          <w:sz w:val="32"/>
        </w:rPr>
      </w:pPr>
      <w:r>
        <w:rPr>
          <w:rStyle w:val="C3"/>
          <w:rFonts w:ascii="Microsoft YaHei UI" w:hAnsi="Microsoft YaHei UI"/>
          <w:sz w:val="32"/>
        </w:rPr>
        <w:t>有关行政监督部门不得违反法律、法规设立审批、核准、登记等涉及招标投标的行政许可事项</w:t>
      </w:r>
      <w:r>
        <w:rPr>
          <w:rStyle w:val="C3"/>
          <w:rFonts w:ascii="仿宋_GB2312" w:hAnsi="仿宋_GB2312"/>
          <w:sz w:val="32"/>
        </w:rPr>
        <w:t>;</w:t>
      </w:r>
      <w:r>
        <w:rPr>
          <w:rStyle w:val="C3"/>
          <w:rFonts w:ascii="Microsoft YaHei UI" w:hAnsi="Microsoft YaHei UI"/>
          <w:sz w:val="32"/>
        </w:rPr>
        <w:t>已经设立的，一律予以取消。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招标和投标</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依法必须进行招标的工程建设项目应当公开招标</w:t>
      </w:r>
      <w:r>
        <w:rPr>
          <w:rStyle w:val="C3"/>
          <w:rFonts w:ascii="仿宋_GB2312" w:hAnsi="仿宋_GB2312"/>
          <w:sz w:val="32"/>
        </w:rPr>
        <w:t>;</w:t>
      </w:r>
      <w:r>
        <w:rPr>
          <w:rStyle w:val="C3"/>
          <w:rFonts w:ascii="Microsoft YaHei UI" w:hAnsi="Microsoft YaHei UI"/>
          <w:sz w:val="32"/>
        </w:rPr>
        <w:t>不进行招标、邀请招标或者自行招标的，应当符合国家规定的条件，按照规定的程序办理。</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依法必须进行招标的工程建设项目采取公开招标方式的，招标人应当按照规定在国家或者省人民政府发展和改革行政主管部门指定的媒介上发布招标公告。</w:t>
      </w:r>
    </w:p>
    <w:p>
      <w:pPr>
        <w:pStyle w:val="P1"/>
        <w:spacing w:lineRule="exact" w:line="578"/>
        <w:ind w:firstLine="640"/>
        <w:rPr>
          <w:rStyle w:val="C3"/>
          <w:rFonts w:ascii="仿宋_GB2312" w:hAnsi="仿宋_GB2312"/>
          <w:sz w:val="32"/>
        </w:rPr>
      </w:pPr>
      <w:r>
        <w:rPr>
          <w:rStyle w:val="C3"/>
          <w:rFonts w:ascii="Microsoft YaHei UI" w:hAnsi="Microsoft YaHei UI"/>
          <w:sz w:val="32"/>
        </w:rPr>
        <w:t>指定媒介发布前款规定的招标公告，不得收取费用，但发布国际招标公告的除外。</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招标人委托招标的，应当委托具备法定资质条件的招标代理机构代理。</w:t>
      </w:r>
    </w:p>
    <w:p>
      <w:pPr>
        <w:pStyle w:val="P1"/>
        <w:spacing w:lineRule="exact" w:line="578"/>
        <w:ind w:firstLine="640"/>
        <w:rPr>
          <w:rStyle w:val="C3"/>
          <w:rFonts w:ascii="仿宋_GB2312" w:hAnsi="仿宋_GB2312"/>
          <w:sz w:val="32"/>
        </w:rPr>
      </w:pPr>
      <w:r>
        <w:rPr>
          <w:rStyle w:val="C3"/>
          <w:rFonts w:ascii="Microsoft YaHei UI" w:hAnsi="Microsoft YaHei UI"/>
          <w:sz w:val="32"/>
        </w:rPr>
        <w:t>招标人不得与招标代理机构相互串通，损害国家利益、社会公共利益和他人的合法权益。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招标代理机构不得接受同一招标项目的投标代理和投标咨询业务</w:t>
      </w:r>
      <w:r>
        <w:rPr>
          <w:rStyle w:val="C3"/>
          <w:rFonts w:ascii="仿宋_GB2312" w:hAnsi="仿宋_GB2312"/>
          <w:sz w:val="32"/>
        </w:rPr>
        <w:t>;</w:t>
      </w:r>
      <w:r>
        <w:rPr>
          <w:rStyle w:val="C3"/>
          <w:rFonts w:ascii="Microsoft YaHei UI" w:hAnsi="Microsoft YaHei UI"/>
          <w:sz w:val="32"/>
        </w:rPr>
        <w:t>未经招标人同意，不得转让招标代理业务。</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招标代理机构不得超越代理权限接受招标代理业务。</w:t>
      </w:r>
    </w:p>
    <w:p>
      <w:pPr>
        <w:pStyle w:val="P1"/>
        <w:spacing w:lineRule="exact" w:line="578"/>
        <w:ind w:firstLine="640"/>
        <w:rPr>
          <w:rStyle w:val="C3"/>
          <w:rFonts w:ascii="仿宋_GB2312" w:hAnsi="仿宋_GB2312"/>
          <w:sz w:val="32"/>
        </w:rPr>
      </w:pPr>
      <w:r>
        <w:rPr>
          <w:rStyle w:val="C3"/>
          <w:rFonts w:ascii="Microsoft YaHei UI" w:hAnsi="Microsoft YaHei UI"/>
          <w:sz w:val="32"/>
        </w:rPr>
        <w:t>招标代理机构的代理权限范围应当在招标代理合同中具体载明。</w:t>
      </w:r>
    </w:p>
    <w:p>
      <w:pPr>
        <w:pStyle w:val="P1"/>
        <w:spacing w:lineRule="exact" w:line="578"/>
        <w:ind w:firstLine="640"/>
        <w:rPr>
          <w:rStyle w:val="C3"/>
          <w:rFonts w:ascii="仿宋_GB2312" w:hAnsi="仿宋_GB2312"/>
          <w:sz w:val="32"/>
        </w:rPr>
      </w:pPr>
      <w:r>
        <w:rPr>
          <w:rStyle w:val="C3"/>
          <w:rFonts w:ascii="Microsoft YaHei UI" w:hAnsi="Microsoft YaHei UI"/>
          <w:sz w:val="32"/>
        </w:rPr>
        <w:t>招标代理机构超越代理权限给招标人造成损失的，应当依法承担赔偿责任。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招标人要求投标人提供投标保证金、履约保证金或者其他形式履约担保的，应当在招标文件中明确。招标人要求中标人提供履约保证金或者其他形式履约担保的，招标人应当同时提供支付担保。</w:t>
      </w:r>
    </w:p>
    <w:p>
      <w:pPr>
        <w:pStyle w:val="P1"/>
        <w:spacing w:lineRule="exact" w:line="578"/>
        <w:ind w:firstLine="640"/>
        <w:rPr>
          <w:rStyle w:val="C3"/>
          <w:rFonts w:ascii="仿宋_GB2312" w:hAnsi="仿宋_GB2312"/>
          <w:sz w:val="32"/>
        </w:rPr>
      </w:pPr>
      <w:r>
        <w:rPr>
          <w:rStyle w:val="C3"/>
          <w:rFonts w:ascii="Microsoft YaHei UI" w:hAnsi="Microsoft YaHei UI"/>
          <w:sz w:val="32"/>
        </w:rPr>
        <w:t>招标人给予未中标的投标人编制投标文件经济补偿的，应当在招标文件中明确补偿的具体标准。</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依法必须进行招标的工程建设项目，招标文件出售时间不得少于</w:t>
      </w:r>
      <w:r>
        <w:rPr>
          <w:rStyle w:val="C3"/>
          <w:rFonts w:ascii="仿宋_GB2312" w:hAnsi="仿宋_GB2312"/>
          <w:sz w:val="32"/>
        </w:rPr>
        <w:t>5</w:t>
      </w:r>
      <w:r>
        <w:rPr>
          <w:rStyle w:val="C3"/>
          <w:rFonts w:ascii="Microsoft YaHei UI" w:hAnsi="Microsoft YaHei UI"/>
          <w:sz w:val="32"/>
        </w:rPr>
        <w:t>日，其出售价格按照省人民政府价格行政主管部门的规定执行</w:t>
      </w:r>
      <w:r>
        <w:rPr>
          <w:rStyle w:val="C3"/>
          <w:rFonts w:ascii="仿宋_GB2312" w:hAnsi="仿宋_GB2312"/>
          <w:sz w:val="32"/>
        </w:rPr>
        <w:t>;</w:t>
      </w:r>
      <w:r>
        <w:rPr>
          <w:rStyle w:val="C3"/>
          <w:rFonts w:ascii="Microsoft YaHei UI" w:hAnsi="Microsoft YaHei UI"/>
          <w:sz w:val="32"/>
        </w:rPr>
        <w:t>自招标文件发出之日到投标人提交投标文件截止之日，最短不得少于</w:t>
      </w:r>
      <w:r>
        <w:rPr>
          <w:rStyle w:val="C3"/>
          <w:rFonts w:ascii="仿宋_GB2312" w:hAnsi="仿宋_GB2312"/>
          <w:sz w:val="32"/>
        </w:rPr>
        <w:t>20</w:t>
      </w:r>
      <w:r>
        <w:rPr>
          <w:rStyle w:val="C3"/>
          <w:rFonts w:ascii="Microsoft YaHei UI" w:hAnsi="Microsoft YaHei UI"/>
          <w:sz w:val="32"/>
        </w:rPr>
        <w:t>日。</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提交投标文件的投标人少于</w:t>
      </w:r>
      <w:r>
        <w:rPr>
          <w:rStyle w:val="C3"/>
          <w:rFonts w:ascii="仿宋_GB2312" w:hAnsi="仿宋_GB2312"/>
          <w:sz w:val="32"/>
        </w:rPr>
        <w:t>3</w:t>
      </w:r>
      <w:r>
        <w:rPr>
          <w:rStyle w:val="C3"/>
          <w:rFonts w:ascii="Microsoft YaHei UI" w:hAnsi="Microsoft YaHei UI"/>
          <w:sz w:val="32"/>
        </w:rPr>
        <w:t>个，或者经资格预审符合条件的投标人少于</w:t>
      </w:r>
      <w:r>
        <w:rPr>
          <w:rStyle w:val="C3"/>
          <w:rFonts w:ascii="仿宋_GB2312" w:hAnsi="仿宋_GB2312"/>
          <w:sz w:val="32"/>
        </w:rPr>
        <w:t>3</w:t>
      </w:r>
      <w:r>
        <w:rPr>
          <w:rStyle w:val="C3"/>
          <w:rFonts w:ascii="Microsoft YaHei UI" w:hAnsi="Microsoft YaHei UI"/>
          <w:sz w:val="32"/>
        </w:rPr>
        <w:t>个，应当依法重新组织招标。</w:t>
      </w:r>
    </w:p>
    <w:p>
      <w:pPr>
        <w:pStyle w:val="P1"/>
        <w:spacing w:lineRule="exact" w:line="578"/>
        <w:ind w:firstLine="640"/>
        <w:rPr>
          <w:rStyle w:val="C3"/>
          <w:rFonts w:ascii="仿宋_GB2312" w:hAnsi="仿宋_GB2312"/>
          <w:sz w:val="32"/>
        </w:rPr>
      </w:pPr>
      <w:r>
        <w:rPr>
          <w:rStyle w:val="C3"/>
          <w:rFonts w:ascii="Microsoft YaHei UI" w:hAnsi="Microsoft YaHei UI"/>
          <w:sz w:val="32"/>
        </w:rPr>
        <w:t>重新组织招标后，符合条件的投标人仍少于</w:t>
      </w:r>
      <w:r>
        <w:rPr>
          <w:rStyle w:val="C3"/>
          <w:rFonts w:ascii="仿宋_GB2312" w:hAnsi="仿宋_GB2312"/>
          <w:sz w:val="32"/>
        </w:rPr>
        <w:t>3</w:t>
      </w:r>
      <w:r>
        <w:rPr>
          <w:rStyle w:val="C3"/>
          <w:rFonts w:ascii="Microsoft YaHei UI" w:hAnsi="Microsoft YaHei UI"/>
          <w:sz w:val="32"/>
        </w:rPr>
        <w:t>个的，经原招标方案核准部门批准，可以改变招标方式或者不再进行招标。</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投标人不得以他人名义参加投标，不得以带资、垫资等手段参加投标。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禁止下列投标人串通投标报价行为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（一）投标人之间相互约定，抬高或者压低投标报价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（二）投标人之间相互约定，分别以高、中、低价位报价</w:t>
      </w:r>
      <w:r>
        <w:rPr>
          <w:rStyle w:val="C3"/>
          <w:rFonts w:ascii="仿宋_GB2312" w:hAnsi="仿宋_GB2312"/>
          <w:sz w:val="32"/>
        </w:rPr>
        <w:t>;</w:t>
      </w:r>
    </w:p>
    <w:p>
      <w:pPr>
        <w:pStyle w:val="P1"/>
        <w:spacing w:lineRule="exact" w:line="578"/>
        <w:ind w:firstLine="608"/>
        <w:rPr>
          <w:rStyle w:val="C3"/>
          <w:rFonts w:ascii="仿宋_GB2312" w:hAnsi="仿宋_GB2312"/>
          <w:sz w:val="32"/>
        </w:rPr>
      </w:pPr>
      <w:r>
        <w:rPr>
          <w:rStyle w:val="C3"/>
          <w:rFonts w:ascii="Microsoft YaHei UI" w:hAnsi="Microsoft YaHei UI"/>
          <w:sz w:val="32"/>
        </w:rPr>
        <w:t>（三）投标人之间进行内部竞价，先内定中标人，再参加投标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（四）投标人之间其他串通投标报价行为。</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禁止下列招标人或者招标代理机构与投标人串通投标行为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（一）在开标前开启投标文件，并将投标文件内容告知其他投标人，或者协助投标人撤换、更改投标文件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（二）向投标人泄露标底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（三）与投标人商定，投标时压低或者抬高标价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（四）预先内定中标人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（五）其他串通投标行为。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开标、评标和中标</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开标应当在招标文件确定的提交投标文件截止时间的同一时间公开进行</w:t>
      </w:r>
      <w:r>
        <w:rPr>
          <w:rStyle w:val="C3"/>
          <w:rFonts w:ascii="仿宋_GB2312" w:hAnsi="仿宋_GB2312"/>
          <w:sz w:val="32"/>
        </w:rPr>
        <w:t>;</w:t>
      </w:r>
      <w:r>
        <w:rPr>
          <w:rStyle w:val="C3"/>
          <w:rFonts w:ascii="Microsoft YaHei UI" w:hAnsi="Microsoft YaHei UI"/>
          <w:sz w:val="32"/>
        </w:rPr>
        <w:t>开标地点应当为招标文件中预先确定的地点。</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任何组织或者个人不得为招标人或者招标代理机构指定开标的时间和地点。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省人民政府可以委托省发展和改革行政主管部门会同有关部门组建全省综合性评标专家库。具体组建及管理办法由省人民政府另行规定。</w:t>
      </w:r>
    </w:p>
    <w:p>
      <w:pPr>
        <w:pStyle w:val="P1"/>
        <w:spacing w:lineRule="exact" w:line="578"/>
        <w:ind w:firstLine="640"/>
        <w:rPr>
          <w:rStyle w:val="C3"/>
          <w:rFonts w:ascii="仿宋_GB2312" w:hAnsi="仿宋_GB2312"/>
          <w:sz w:val="32"/>
        </w:rPr>
      </w:pPr>
      <w:r>
        <w:rPr>
          <w:rStyle w:val="C3"/>
          <w:rFonts w:ascii="Microsoft YaHei UI" w:hAnsi="Microsoft YaHei UI"/>
          <w:sz w:val="32"/>
        </w:rPr>
        <w:t>依法必须进行招标的全部或者部分使用国有资金投资或者国家融资的工程建设项目，招标人或者招标代理机构应当从全省综合性评标专家库中抽取评标委员会的专家。</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评标专家应当公正、廉洁地履行职责。</w:t>
      </w:r>
    </w:p>
    <w:p>
      <w:pPr>
        <w:pStyle w:val="P1"/>
        <w:spacing w:lineRule="exact" w:line="578"/>
        <w:ind w:firstLine="640"/>
        <w:rPr>
          <w:rStyle w:val="C3"/>
          <w:rFonts w:ascii="仿宋_GB2312" w:hAnsi="仿宋_GB2312"/>
          <w:sz w:val="32"/>
        </w:rPr>
      </w:pPr>
      <w:r>
        <w:rPr>
          <w:rStyle w:val="C3"/>
          <w:rFonts w:ascii="Microsoft YaHei UI" w:hAnsi="Microsoft YaHei UI"/>
          <w:sz w:val="32"/>
        </w:rPr>
        <w:t>评标专家库应当建立专家工作档案，对评标专家履行职责的情况予以记载。</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评标专家在评标活动中，依法对投标文件独立进行评审，不受任何组织或者个人的干预。</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评标结束后，评标委员会应当向招标人提交由全体成员签字的书面评标报告。</w:t>
      </w:r>
    </w:p>
    <w:p>
      <w:pPr>
        <w:pStyle w:val="P1"/>
        <w:spacing w:lineRule="exact" w:line="578"/>
        <w:ind w:firstLine="640"/>
        <w:rPr>
          <w:rStyle w:val="C3"/>
          <w:rFonts w:ascii="仿宋_GB2312" w:hAnsi="仿宋_GB2312"/>
          <w:sz w:val="32"/>
        </w:rPr>
      </w:pPr>
      <w:r>
        <w:rPr>
          <w:rStyle w:val="C3"/>
          <w:rFonts w:ascii="Microsoft YaHei UI" w:hAnsi="Microsoft YaHei UI"/>
          <w:sz w:val="32"/>
        </w:rPr>
        <w:t>在评标报告中，一般应当向招标人推荐</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名中标候选人，并标明排列顺序。</w:t>
      </w:r>
    </w:p>
    <w:p>
      <w:pPr>
        <w:pStyle w:val="P1"/>
        <w:spacing w:lineRule="exact" w:line="578"/>
        <w:ind w:firstLine="640"/>
        <w:rPr>
          <w:rStyle w:val="C3"/>
          <w:rFonts w:ascii="仿宋_GB2312" w:hAnsi="仿宋_GB2312"/>
          <w:sz w:val="32"/>
        </w:rPr>
      </w:pPr>
      <w:r>
        <w:rPr>
          <w:rStyle w:val="C3"/>
          <w:rFonts w:ascii="Microsoft YaHei UI" w:hAnsi="Microsoft YaHei UI"/>
          <w:sz w:val="32"/>
        </w:rPr>
        <w:t>对评标结论持有异议的评标委员会成员，可以书面阐述不同的意见和理由，连同评标报告一并提交招标人。评标委员会决定否决所有投标的，应当在评标报告中说明理由。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依法必须进行招标的工程建设项目的所有投标被否决的，招标人应当依法重新招标。</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招标人应当自接到评标委员会的书面评标报告之日起</w:t>
      </w:r>
      <w:r>
        <w:rPr>
          <w:rStyle w:val="C3"/>
          <w:rFonts w:ascii="仿宋_GB2312" w:hAnsi="仿宋_GB2312"/>
          <w:sz w:val="32"/>
        </w:rPr>
        <w:t>15</w:t>
      </w:r>
      <w:r>
        <w:rPr>
          <w:rStyle w:val="C3"/>
          <w:rFonts w:ascii="Microsoft YaHei UI" w:hAnsi="Microsoft YaHei UI"/>
          <w:sz w:val="32"/>
        </w:rPr>
        <w:t>日内确定中标人。</w:t>
      </w:r>
    </w:p>
    <w:p>
      <w:pPr>
        <w:pStyle w:val="P1"/>
        <w:spacing w:lineRule="exact" w:line="578"/>
        <w:ind w:firstLine="640"/>
        <w:rPr>
          <w:rStyle w:val="C3"/>
          <w:rFonts w:ascii="仿宋_GB2312" w:hAnsi="仿宋_GB2312"/>
          <w:sz w:val="32"/>
        </w:rPr>
      </w:pPr>
      <w:r>
        <w:rPr>
          <w:rStyle w:val="C3"/>
          <w:rFonts w:ascii="Microsoft YaHei UI" w:hAnsi="Microsoft YaHei UI"/>
          <w:sz w:val="32"/>
        </w:rPr>
        <w:t>招标人应当按照评标委员会推荐的中标候选人排序确定中标人。排名在前的中标候选人放弃中标，或者未能按照招标文件的规定提交履约保证金或者其他形式履约担保的，招标人可以确定下一名中标候选人为中标人。</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中标人确定后，招标人应当在</w:t>
      </w:r>
      <w:r>
        <w:rPr>
          <w:rStyle w:val="C3"/>
          <w:rFonts w:ascii="仿宋_GB2312" w:hAnsi="仿宋_GB2312"/>
          <w:sz w:val="32"/>
        </w:rPr>
        <w:t>3</w:t>
      </w:r>
      <w:r>
        <w:rPr>
          <w:rStyle w:val="C3"/>
          <w:rFonts w:ascii="Microsoft YaHei UI" w:hAnsi="Microsoft YaHei UI"/>
          <w:sz w:val="32"/>
        </w:rPr>
        <w:t>日内向中标人发出中标通知书，并将中标结果通知未中标的候选人。</w:t>
      </w:r>
    </w:p>
    <w:p>
      <w:pPr>
        <w:pStyle w:val="P1"/>
        <w:spacing w:lineRule="exact" w:line="578"/>
        <w:ind w:firstLine="640"/>
        <w:rPr>
          <w:rStyle w:val="C3"/>
          <w:rFonts w:ascii="仿宋_GB2312" w:hAnsi="仿宋_GB2312"/>
          <w:sz w:val="32"/>
        </w:rPr>
      </w:pPr>
      <w:r>
        <w:rPr>
          <w:rStyle w:val="C3"/>
          <w:rFonts w:ascii="Microsoft YaHei UI" w:hAnsi="Microsoft YaHei UI"/>
          <w:sz w:val="32"/>
        </w:rPr>
        <w:t>招标人不得向中标人提出压低报价、增加工作量、缩短工期等要求，作为发出中标通知书和签订合同的条件。</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评标委员会确定中标候选人后，招标人应当在</w:t>
      </w:r>
      <w:r>
        <w:rPr>
          <w:rStyle w:val="C3"/>
          <w:rFonts w:ascii="仿宋_GB2312" w:hAnsi="仿宋_GB2312"/>
          <w:sz w:val="32"/>
        </w:rPr>
        <w:t>5</w:t>
      </w:r>
      <w:r>
        <w:rPr>
          <w:rStyle w:val="C3"/>
          <w:rFonts w:ascii="Microsoft YaHei UI" w:hAnsi="Microsoft YaHei UI"/>
          <w:sz w:val="32"/>
        </w:rPr>
        <w:t>日内退还其他投标人交纳的投标保证金</w:t>
      </w:r>
      <w:r>
        <w:rPr>
          <w:rStyle w:val="C3"/>
          <w:rFonts w:ascii="仿宋_GB2312" w:hAnsi="仿宋_GB2312"/>
          <w:sz w:val="32"/>
        </w:rPr>
        <w:t>;</w:t>
      </w:r>
      <w:r>
        <w:rPr>
          <w:rStyle w:val="C3"/>
          <w:rFonts w:ascii="Microsoft YaHei UI" w:hAnsi="Microsoft YaHei UI"/>
          <w:sz w:val="32"/>
        </w:rPr>
        <w:t>在签订中标合同</w:t>
      </w:r>
      <w:r>
        <w:rPr>
          <w:rStyle w:val="C3"/>
          <w:rFonts w:ascii="仿宋_GB2312" w:hAnsi="仿宋_GB2312"/>
          <w:sz w:val="32"/>
        </w:rPr>
        <w:t>5</w:t>
      </w:r>
      <w:r>
        <w:rPr>
          <w:rStyle w:val="C3"/>
          <w:rFonts w:ascii="Microsoft YaHei UI" w:hAnsi="Microsoft YaHei UI"/>
          <w:sz w:val="32"/>
        </w:rPr>
        <w:t>日内，将投标保证金退还中标人和其他中标候选人。</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依法必须进行招标的工程建设项目，招标人应当自发出中标通知书之日起</w:t>
      </w:r>
      <w:r>
        <w:rPr>
          <w:rStyle w:val="C3"/>
          <w:rFonts w:ascii="仿宋_GB2312" w:hAnsi="仿宋_GB2312"/>
          <w:sz w:val="32"/>
        </w:rPr>
        <w:t>15</w:t>
      </w:r>
      <w:r>
        <w:rPr>
          <w:rStyle w:val="C3"/>
          <w:rFonts w:ascii="Microsoft YaHei UI" w:hAnsi="Microsoft YaHei UI"/>
          <w:sz w:val="32"/>
        </w:rPr>
        <w:t>日内，向有关行政监督部门提交招标投标情况的书面报告。</w:t>
      </w:r>
    </w:p>
    <w:p>
      <w:pPr>
        <w:pStyle w:val="P1"/>
        <w:spacing w:lineRule="exact" w:line="578"/>
        <w:ind w:firstLine="640"/>
        <w:rPr>
          <w:rStyle w:val="C3"/>
          <w:rFonts w:ascii="仿宋_GB2312" w:hAnsi="仿宋_GB2312"/>
          <w:sz w:val="32"/>
        </w:rPr>
      </w:pPr>
      <w:r>
        <w:rPr>
          <w:rStyle w:val="C3"/>
          <w:rFonts w:ascii="Microsoft YaHei UI" w:hAnsi="Microsoft YaHei UI"/>
          <w:sz w:val="32"/>
        </w:rPr>
        <w:t>书面报告应当包括下列内容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（一）招标范围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（二）招标方式、招标组织形式和发布招标公告的媒介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（三）投标人的资格审查情况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（四）招标文件的主要内容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（五）评标委员会的组成和评标报告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（六）中标结果。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工程建设项目招标投标活动及其当事人应当接受依法实施的监督。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有关行政监督部门依法对工程建设项目招标投标活动实施监督，依法查处工程建设项目招标投标活动中的违法行为。</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县级以上人民政府发展和改革行政主管部门指导和协调本行政区域内工程建设项目的招标投标工作。</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省人民政府发展和改革行政主管部门会同有关行政主管部门拟定配套政策和必须进行招标的工程建设项目的具体范围、规模标准以及不适宜进行招标的项目，报省人民政府批准。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发展和改革行政主管部门负责派出重大建设项目稽查人员，对重大建设项目的招标投标活动进行监督检查。对列入省人民政府重点工程的重大建设项目招标投标活动的监督执法及有关部门的具体职权划分，由省人民政府规定。</w:t>
      </w:r>
    </w:p>
    <w:p>
      <w:pPr>
        <w:pStyle w:val="P1"/>
        <w:spacing w:lineRule="exact" w:line="578"/>
        <w:ind w:firstLine="640"/>
        <w:rPr>
          <w:rStyle w:val="C3"/>
          <w:rFonts w:ascii="仿宋_GB2312" w:hAnsi="仿宋_GB2312"/>
          <w:sz w:val="32"/>
        </w:rPr>
      </w:pPr>
      <w:r>
        <w:rPr>
          <w:rStyle w:val="C3"/>
          <w:rFonts w:ascii="Microsoft YaHei UI" w:hAnsi="Microsoft YaHei UI"/>
          <w:sz w:val="32"/>
        </w:rPr>
        <w:t>对于工程建设项目招标投标过程（包括招标、投标、开标、评标、中标）中泄露保密资料、泄露标底、串通招标、串通投标、歧视排斥投标等违法活动的监督执法，按照现行的职责分工，分别由有关行政主管部门负责并受理投标人和其他利害关系人的投诉。按照这一原则，工业、水利、交通等行业和产业的工程建设项目招标投标活动的监督执法，分别由工业经济、水利、交通等行政主管部门负责</w:t>
      </w:r>
      <w:r>
        <w:rPr>
          <w:rStyle w:val="C3"/>
          <w:rFonts w:ascii="仿宋_GB2312" w:hAnsi="仿宋_GB2312"/>
          <w:sz w:val="32"/>
        </w:rPr>
        <w:t>;</w:t>
      </w:r>
      <w:r>
        <w:rPr>
          <w:rStyle w:val="C3"/>
          <w:rFonts w:ascii="Microsoft YaHei UI" w:hAnsi="Microsoft YaHei UI"/>
          <w:sz w:val="32"/>
        </w:rPr>
        <w:t>各类房屋建筑及其附属设施的建造和与其配套的线路、管道、设备的安装项目和市政工程项目的招标投标活动的监督执法，由建设行政主管部门负责</w:t>
      </w:r>
      <w:r>
        <w:rPr>
          <w:rStyle w:val="C3"/>
          <w:rFonts w:ascii="仿宋_GB2312" w:hAnsi="仿宋_GB2312"/>
          <w:sz w:val="32"/>
        </w:rPr>
        <w:t>;</w:t>
      </w:r>
      <w:r>
        <w:rPr>
          <w:rStyle w:val="C3"/>
          <w:rFonts w:ascii="Microsoft YaHei UI" w:hAnsi="Microsoft YaHei UI"/>
          <w:sz w:val="32"/>
        </w:rPr>
        <w:t>进口机电设备采购项目的招标投标活动的监督执法，由商务行政主管部门负责。</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县级以上人民政府监察机关对有关行政监督部门在工程建设项目招标投标活动中的执法行为实施监察，可以对工程建设项目招标投标活动现场监督、检查。</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投标人认为工程建设项目招标投标活动不符合法律、法规规定的，有权向招标人提出异议，可以依法向有关行政监督部门投诉。有关行政监督部门应当根据各自的职责，按照规定进行调查、核实和处理，并将结果告知投诉人。</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有关行政监督部门应当设立并公布举报电话。</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任何组织和个人对工程建设项目招标投标活动中的违法行为，可以向有关行政监督部门举报。有关行政监督部门经立案查证，情况属实的，对举报人给予奖励。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省人民政府应当建立工程建设项目招标投标活动违法行为记录系统，记载招标人、招标代理机构、投标人、评标委员会成员等招标投标活动当事人的违法行为及相应的处理结果。具体办法由省人民政府规定。</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任何组织和个人有权查询记录。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对违反本条例规定的行为，《中华人民共和国招标投标法》已有处罚规定的，从其规定。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违反本条例规定，依法必须进行招标的工程建设项目采取公开招标方式，招标人未在指定的媒介上发布招标公告的，由省人民政府发展和改革行政主管部门责令改正，可并处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招标代理机构违反本条例第九条、第十条第一款规定的，由有关行政监督部门责令改正，并可视情节轻重，降低资格等级，暂停或者取消招标代理资格。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依法必须进行招标的全部或者部分使用国有资金投资或者国家融资的工程建设项目，招标人或者招标代理机构未按照本条例规定抽取评标专家的，评标无效</w:t>
      </w:r>
      <w:r>
        <w:rPr>
          <w:rStyle w:val="C3"/>
          <w:rFonts w:ascii="仿宋_GB2312" w:hAnsi="仿宋_GB2312"/>
          <w:sz w:val="32"/>
        </w:rPr>
        <w:t>;</w:t>
      </w:r>
      <w:r>
        <w:rPr>
          <w:rStyle w:val="C3"/>
          <w:rFonts w:ascii="Microsoft YaHei UI" w:hAnsi="Microsoft YaHei UI"/>
          <w:sz w:val="32"/>
        </w:rPr>
        <w:t>给投标人造成损失的，依法承担赔偿责任。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违反本条例规定，招标人未按照规定期限确定中标人，或者未按照规定期限退还投标人投标保证金的，由有关行政监督部门责令限期改正，给予警告</w:t>
      </w:r>
      <w:r>
        <w:rPr>
          <w:rStyle w:val="C3"/>
          <w:rFonts w:ascii="仿宋_GB2312" w:hAnsi="仿宋_GB2312"/>
          <w:sz w:val="32"/>
        </w:rPr>
        <w:t>;</w:t>
      </w:r>
      <w:r>
        <w:rPr>
          <w:rStyle w:val="C3"/>
          <w:rFonts w:ascii="Microsoft YaHei UI" w:hAnsi="Microsoft YaHei UI"/>
          <w:sz w:val="32"/>
        </w:rPr>
        <w:t>给投标人造成损失的，依法承担赔偿责任。</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有关行政监督部门及其工作人员在工程建设项目招标投标活动的监督工作中，有下列行为之一的，对负有直接责任的主管人员和其他直接责任人员依法给予行政处分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（一）擅自增加审批事项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（二）非法干涉招标人自主权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（三）违法向招标人、招标代理机构收取费用和财物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（四）违法从事招标代理工作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（五）违反法律、法规的其他行为。</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2016-12-27T06:51:00Z</dcterms:created>
  <cp:lastModifiedBy>f1TZOF\f1TZOF-</cp:lastModifiedBy>
  <dcterms:modified xsi:type="dcterms:W3CDTF">2024-08-28T01:37:00Z</dcterms:modified>
  <cp:revision>9</cp:revision>
  <dc:title>山西省工程建设项目招标投标条例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