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A269C4" Type="http://schemas.openxmlformats.org/officeDocument/2006/relationships/officeDocument" Target="/word/document.xml" /><Relationship Id="coreR2EA269C4" Type="http://schemas.openxmlformats.org/package/2006/relationships/metadata/core-properties" Target="/docProps/core.xml" /><Relationship Id="customR2EA269C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20"/>
        <w:jc w:val="center"/>
        <w:rPr>
          <w:rStyle w:val="C3"/>
          <w:rFonts w:ascii="宋体" w:hAnsi="宋体"/>
          <w:b w:val="1"/>
          <w:sz w:val="44"/>
        </w:rPr>
      </w:pPr>
    </w:p>
    <w:p>
      <w:pPr>
        <w:pStyle w:val="P1"/>
        <w:spacing w:lineRule="exact" w:line="520"/>
        <w:jc w:val="center"/>
        <w:rPr>
          <w:rStyle w:val="C3"/>
          <w:rFonts w:ascii="宋体" w:hAnsi="宋体"/>
          <w:b w:val="1"/>
          <w:sz w:val="44"/>
        </w:rPr>
      </w:pPr>
    </w:p>
    <w:p>
      <w:pPr>
        <w:pStyle w:val="P1"/>
        <w:spacing w:lineRule="exact" w:line="52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深圳经济特区陆路口岸和特区</w:t>
      </w:r>
    </w:p>
    <w:p>
      <w:pPr>
        <w:pStyle w:val="P1"/>
        <w:spacing w:lineRule="exact" w:line="520"/>
        <w:jc w:val="center"/>
        <w:rPr>
          <w:rStyle w:val="C3"/>
          <w:rFonts w:ascii="宋体" w:hAnsi="宋体"/>
          <w:b w:val="1"/>
          <w:sz w:val="44"/>
        </w:rPr>
      </w:pPr>
      <w:r>
        <w:rPr>
          <w:rStyle w:val="C3"/>
          <w:rFonts w:ascii="宋体" w:hAnsi="宋体"/>
          <w:b w:val="0"/>
          <w:sz w:val="44"/>
        </w:rPr>
        <w:t>管理线检查站物业管理规定</w:t>
      </w:r>
    </w:p>
    <w:p>
      <w:pPr>
        <w:pStyle w:val="P1"/>
        <w:spacing w:lineRule="exact" w:line="300"/>
        <w:ind w:firstLine="680"/>
        <w:jc w:val="center"/>
        <w:rPr>
          <w:rStyle w:val="C3"/>
          <w:rFonts w:ascii="仿宋_GB2312" w:hAnsi="仿宋_GB2312"/>
          <w:sz w:val="28"/>
        </w:rPr>
      </w:pPr>
    </w:p>
    <w:p>
      <w:pPr>
        <w:pStyle w:val="P1"/>
        <w:spacing w:lineRule="exact" w:line="520"/>
        <w:ind w:firstLine="0" w:left="640" w:right="413"/>
        <w:jc w:val="both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1999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8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24</w:t>
      </w:r>
      <w:r>
        <w:rPr>
          <w:rStyle w:val="C3"/>
          <w:rFonts w:ascii="Microsoft YaHei UI" w:hAnsi="Microsoft YaHei UI"/>
          <w:sz w:val="32"/>
        </w:rPr>
        <w:t>日深圳市第二届人民代表大会常务委员会第三十四次会议通过</w:t>
      </w:r>
      <w:r>
        <w:rPr>
          <w:rStyle w:val="C3"/>
          <w:rFonts w:ascii="楷体_GB2312" w:hAnsi="楷体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根据</w:t>
      </w:r>
      <w:r>
        <w:rPr>
          <w:rStyle w:val="C3"/>
          <w:rFonts w:ascii="楷体_GB2312" w:hAnsi="楷体_GB2312"/>
          <w:sz w:val="32"/>
        </w:rPr>
        <w:t>2019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10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31</w:t>
      </w:r>
      <w:r>
        <w:rPr>
          <w:rStyle w:val="C3"/>
          <w:rFonts w:ascii="Microsoft YaHei UI" w:hAnsi="Microsoft YaHei UI"/>
          <w:sz w:val="32"/>
        </w:rPr>
        <w:t>日深圳市第六届人民代表大会常务委员会第三十六次会议《关于修改〈深圳经济特区人体器官捐献移植条例〉等四十五项法规的决定》修正）</w:t>
      </w:r>
    </w:p>
    <w:p>
      <w:pPr>
        <w:pStyle w:val="P1"/>
        <w:spacing w:lineRule="exact" w:line="520"/>
        <w:ind w:firstLine="680"/>
        <w:jc w:val="center"/>
        <w:rPr>
          <w:rStyle w:val="C3"/>
        </w:rPr>
      </w:pP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第一条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为了加强深圳经济特区（以下简称特区）陆路口岸（以下简称口岸）和特区管理线检查站（以下简称检查站）物业管理，有利于口岸、检查站的安全畅通，确保国有资产的合理使用，维护口岸、检查站的正常秩序，根据有关法律、行政法规的基本原则，结合特区实际，制定本规定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第二条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本规定所称口岸，是指供人员、交通运输工具、货物出入境的特定区域。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本规定所称检查站，是指供人员、交通运输工具、货物进出特区管理线的特定区域。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本规定所称物业，是指口岸、检查站区域内，由市人民政府管理的查验场所、办公业务用房、公共场地及相配套的设施设备。</w:t>
      </w:r>
    </w:p>
    <w:p>
      <w:pPr>
        <w:pStyle w:val="P2"/>
        <w:rPr>
          <w:rStyle w:val="C3"/>
        </w:rPr>
      </w:pPr>
      <w:r>
        <w:rPr>
          <w:rStyle w:val="C3"/>
          <w:rFonts w:ascii="Microsoft YaHei UI" w:hAnsi="Microsoft YaHei UI"/>
        </w:rPr>
        <w:t>本规定所称查验现场，是指用于即时办理通关业务手续的特定场地。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第三条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市口岸部门是口岸、检查站物业的主管部门，负责口岸、检查站的规划、建设、改造工作的组织实施以及物业的管理。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第四条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口岸部门根据国家有关规定和查验业务需要，将物业分配给口岸、检查站有关单位使用，并发给使用单位物业使用证。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口岸、检查站物业使用证的内容包括：物业的名称、地点、面积、用途、现状；物业使用单位的名称、权利、义务。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第五条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口岸部门在下列情况下可以对物业的分配进行必要的调整：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（一）口岸、检查站查验方式发生变化；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（二）口岸、检查站整体规划建设需要。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口岸、检查站有关单位应当服从调配，并按照规定及时更换物业使用证。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第六条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经口岸部门授权，口岸、检查站物业管理服务单位（以下简称物业管理服务单位）负责口岸、检查站区域内查验现场的房屋、场地、设施设备的维护；负责供水供电、消防安全、清洁卫生、绿化美化、停车场等各项管理工作，确保环境整洁，以利于口岸、检查站的正常运作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口岸部门对物业管理服务单位实行管理和监督。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第七条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口岸、检查站有关单位使用非查验现场的物业，使用单位应当负责管理、维护和缴交水电费。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第八条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口岸、检查站物业管理经费的来源：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（一）政府财政补贴；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（二）按照国家有关规定收取的口岸建设管理费；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（三）物业管理、经营服务的收入。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第九条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物业管理服务单位可以在不影响口岸、检查站安全畅通及区域环境的前提下，经口岸部门同意，合理利用口岸、检查站的物业资源，依法开展经营服务活动。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口岸、检查站经营服务网点的设置，应当服从统一规划并报口岸部门审批。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第十一条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口岸、检查站有关单位使用物业应当遵守下列规定：</w:t>
      </w:r>
    </w:p>
    <w:p>
      <w:pPr>
        <w:pStyle w:val="P2"/>
        <w:rPr>
          <w:rStyle w:val="C3"/>
        </w:rPr>
      </w:pPr>
      <w:r>
        <w:rPr>
          <w:rStyle w:val="C3"/>
          <w:rFonts w:ascii="Microsoft YaHei UI" w:hAnsi="Microsoft YaHei UI"/>
        </w:rPr>
        <w:t>（一）不得擅自改变物业及相关设施设备的结构和外观；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（二）不得擅自新建、改建、扩建以及拆除任何建筑物；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（三）不得擅自改变物业用途，不得出租、转让物业或者将公共场地占为己用；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（四）不得设置商业广告；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（五）不得违反规定接装水电线路和燃气管道；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（六）不得擅自堆放易燃、易爆、剧毒、放射性等物品；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（七）不得利用物业从事危害公共利益或者安全的活动；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（八）不得侵害其他单位的正当权益。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第十二条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口岸、检查站区域内禁止下列行为：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（一）践踏、占用绿化地带；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（二）占用楼梯间、通道、屋面、平台、道路、停车场、自行车棚等公用设施；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（三）乱抛垃圾、杂物；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（四）乱搭建、乱堆放、乱开挖等；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（五）随意停放车辆和鸣喇叭；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（六）损毁建筑物；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（七）法律、法规禁止的其他行为。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第十三条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口岸、检查站有关单位确有需要在口岸、检查站区域内兴建物业的，应当征求口岸部门的意见，并按照有关程序报批；工程验收时，应当有口岸部门参与。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第十四条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新建设的口岸、检查站的物业竣工验收后，开发建设单位应当向口岸部门移交下列工程建设资料：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（一）口岸、检查站区域规划图、用地红线图、竣工总平面图；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（二）单体建筑、结构、设备竣工图；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（三）地下管网竣工图；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（四）其他必要的资料。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第十五条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物业管理服务单位在经营服务活动中，影响口岸、检查站的安全畅通和正常秩序的，由口岸部门责令限期改正；限期不改或者情节严重的，追究其直接负责的主管人员和直接责任人员的责任。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第十六条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物业管理服务单位因管理、维护不善，造成责任事故，影响口岸、检查站正常运作的，由口岸部门追究其直接负责的主管人员和直接责任人员的责任；造成损失的，应当负赔偿责任；违反有关法律、法规规定的，由有关部门依法予以处理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第十七条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违反本规定第十一条规定的，由口岸部门责令限期改正、恢复原状；造成损失的，应当负赔偿责任；擅自改变口岸、检查站物业用途的，口岸部门可以收回该物业；违反有关法律法规规定的，由有关部门依法予以处理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第十八条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违反本规定第十二条规定的，由口岸部门予以制止，并责令限期改正；限期不改或者情节严重的，经有关部门委托，由物业管理服务单位按照《深圳经济特区市容和环境卫生管理条例》《深圳经济特区道路交通安全违法行为处罚条例》及其他有关法律、法规规定处罚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第十九条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口岸部门和物业管理服务单位工作人员在口岸、检查站物业管理工作中，滥用职权、玩忽职守、徇私舞弊的，由其所在单位或者有关部门追究行政责任；构成犯罪的，依法追究刑事责任。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第二十条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市人民政府可以依据本规定制定实施办法。</w:t>
      </w:r>
    </w:p>
    <w:p>
      <w:pPr>
        <w:pStyle w:val="P1"/>
        <w:spacing w:lineRule="exact" w:line="520"/>
        <w:ind w:firstLine="680"/>
        <w:rPr>
          <w:rStyle w:val="C3"/>
        </w:rPr>
      </w:pPr>
      <w:r>
        <w:rPr>
          <w:rStyle w:val="C3"/>
          <w:rFonts w:ascii="Microsoft YaHei UI" w:hAnsi="Microsoft YaHei UI"/>
        </w:rPr>
        <w:t>第二十一条</w:t>
      </w:r>
      <w:r>
        <w:rPr>
          <w:rStyle w:val="C3"/>
        </w:rPr>
        <w:t xml:space="preserve">  </w:t>
      </w:r>
      <w:r>
        <w:rPr>
          <w:rStyle w:val="C3"/>
          <w:rFonts w:ascii="Microsoft YaHei UI" w:hAnsi="Microsoft YaHei UI"/>
        </w:rPr>
        <w:t>本规定自</w:t>
      </w:r>
      <w:r>
        <w:rPr>
          <w:rStyle w:val="C3"/>
        </w:rPr>
        <w:t>1999</w:t>
      </w:r>
      <w:r>
        <w:rPr>
          <w:rStyle w:val="C3"/>
          <w:rFonts w:ascii="Microsoft YaHei UI" w:hAnsi="Microsoft YaHei UI"/>
        </w:rPr>
        <w:t>年</w:t>
      </w:r>
      <w:r>
        <w:rPr>
          <w:rStyle w:val="C3"/>
        </w:rPr>
        <w:t>11</w:t>
      </w:r>
      <w:r>
        <w:rPr>
          <w:rStyle w:val="C3"/>
          <w:rFonts w:ascii="Microsoft YaHei UI" w:hAnsi="Microsoft YaHei UI"/>
        </w:rPr>
        <w:t>月</w:t>
      </w:r>
      <w:r>
        <w:rPr>
          <w:rStyle w:val="C3"/>
        </w:rPr>
        <w:t>1</w:t>
      </w:r>
      <w:r>
        <w:rPr>
          <w:rStyle w:val="C3"/>
          <w:rFonts w:ascii="Microsoft YaHei UI" w:hAnsi="Microsoft YaHei UI"/>
        </w:rPr>
        <w:t>日起施行。</w:t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7" w:h="16840" w:code="0"/>
      <w:pgMar w:left="1587" w:right="1587" w:top="2098" w:bottom="1814" w:header="1134" w:footer="1417" w:gutter="0"/>
      <w:pgNumType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5"/>
                            <w:tabs>
                              <w:tab w:val="center" w:pos="4153" w:leader="none"/>
                              <w:tab w:val="right" w:pos="8306" w:leader="none"/>
                            </w:tabs>
                            <w:rPr>
                              <w:rStyle w:val="C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C4"/>
                              <w:rFonts w:ascii="Times New Roman" w:hAnsi="Times New Roman"/>
                              <w:sz w:val="28"/>
                            </w:rPr>
                            <w:instrText xml:space="preserve">PAGE  </w:instrText>
                          </w:r>
                          <w:r>
                            <w:rPr>
                              <w:rStyle w:val="C4"/>
                              <w:rFonts w:ascii="Times New Roman" w:hAnsi="Times New Roman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4"/>
                              <w:rFonts w:ascii="Times New Roman" w:hAnsi="Times New Roman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4"/>
                              <w:rFonts w:ascii="Times New Roman" w:hAnsi="Times New Roman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5"/>
                      <w:tabs>
                        <w:tab w:val="center" w:pos="4153" w:leader="none"/>
                        <w:tab w:val="right" w:pos="8306" w:leader="none"/>
                      </w:tabs>
                      <w:rPr>
                        <w:rStyle w:val="C4"/>
                      </w:rPr>
                    </w:pPr>
                    <w:r>
                      <w:fldChar w:fldCharType="begin"/>
                    </w:r>
                    <w:r>
                      <w:rPr>
                        <w:rStyle w:val="C4"/>
                        <w:rFonts w:ascii="Times New Roman" w:hAnsi="Times New Roman"/>
                        <w:sz w:val="28"/>
                      </w:rPr>
                      <w:instrText xml:space="preserve">PAGE  </w:instrText>
                    </w:r>
                    <w:r>
                      <w:rPr>
                        <w:rStyle w:val="C4"/>
                        <w:rFonts w:ascii="Times New Roman" w:hAnsi="Times New Roman"/>
                        <w:sz w:val="28"/>
                      </w:rPr>
                      <w:fldChar w:fldCharType="separate"/>
                    </w:r>
                    <w:r>
                      <w:rPr>
                        <w:rStyle w:val="C4"/>
                        <w:rFonts w:ascii="Times New Roman" w:hAnsi="Times New Roman"/>
                        <w:sz w:val="28"/>
                      </w:rPr>
                      <w:t>#</w:t>
                    </w:r>
                    <w:r>
                      <w:rPr>
                        <w:rStyle w:val="C4"/>
                        <w:rFonts w:ascii="Times New Roman" w:hAnsi="Times New Roman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framePr w:wrap="around" w:vAnchor="text" w:hAnchor="margin" w:x="-4" w:y="1"/>
      <w:tabs>
        <w:tab w:val="center" w:pos="4153" w:leader="none"/>
        <w:tab w:val="right" w:pos="8306" w:leader="none"/>
      </w:tabs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5"/>
      <w:tabs>
        <w:tab w:val="center" w:pos="4153" w:leader="none"/>
        <w:tab w:val="right" w:pos="8306" w:leader="none"/>
      </w:tabs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32"/>
    </w:rPr>
  </w:style>
  <w:style w:type="paragraph" w:styleId="P2">
    <w:name w:val="正文文本缩进"/>
    <w:basedOn w:val="P1"/>
    <w:next w:val="P2"/>
    <w:pPr>
      <w:spacing w:lineRule="exact" w:line="520"/>
      <w:ind w:firstLine="680"/>
    </w:pPr>
    <w:rPr/>
  </w:style>
  <w:style w:type="paragraph" w:styleId="P3">
    <w:name w:val="批注文字"/>
    <w:basedOn w:val="P1"/>
    <w:next w:val="P3"/>
    <w:pPr>
      <w:jc w:val="left"/>
    </w:pPr>
    <w:rPr/>
  </w:style>
  <w:style w:type="paragraph" w:styleId="P4">
    <w:name w:val="页眉"/>
    <w:basedOn w:val="P1"/>
    <w:next w:val="P4"/>
    <w:link w:val="C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5">
    <w:name w:val="页脚"/>
    <w:basedOn w:val="P1"/>
    <w:next w:val="P5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character" w:styleId="C5">
    <w:name w:val="页眉 Char"/>
    <w:basedOn w:val="C3"/>
    <w:link w:val="P4"/>
    <w:rPr>
      <w:sz w:val="18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pPr>
      <w:keepNext w:val="0"/>
      <w:keepLines w:val="0"/>
      <w:widowControl w:val="1"/>
      <w:suppressLineNumbers w:val="0"/>
      <w:spacing w:before="0" w:after="0" w:beforeAutospacing="0" w:afterAutospacing="0"/>
      <w:ind w:left="0" w:right="0"/>
    </w:pPr>
    <w:rPr>
      <w:rFonts w:ascii="Calibri" w:hAnsi="Calibri"/>
      <w:sz w:val="20"/>
    </w:rPr>
    <w:tblPr>
      <w:tblBorders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张育民</dc:creator>
  <dcterms:created xsi:type="dcterms:W3CDTF">2018-08-17T06:59:00Z</dcterms:created>
  <cp:lastModifiedBy>f1TZOF\f1TZOF-</cp:lastModifiedBy>
  <cp:lastPrinted>1999-09-14T00:31:00Z</cp:lastPrinted>
  <dcterms:modified xsi:type="dcterms:W3CDTF">2024-08-28T01:37:09Z</dcterms:modified>
  <cp:revision>2</cp:revision>
  <dc:title>深圳陆路口岸和特管线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2052-11.1.0.9339</vt:lpwstr>
  </property>
</Properties>
</file>