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425EA6" Type="http://schemas.openxmlformats.org/officeDocument/2006/relationships/officeDocument" Target="/word/document.xml" /><Relationship Id="coreR67425EA6" Type="http://schemas.openxmlformats.org/package/2006/relationships/metadata/core-properties" Target="/docProps/core.xml" /><Relationship Id="customR67425E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both"/>
        <w:rPr>
          <w:rStyle w:val="C3"/>
          <w:rFonts w:ascii="宋体" w:hAnsi="宋体"/>
          <w:sz w:val="44"/>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武汉市水土保持条例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日武汉市第十二届人民代表大会常务委员会第十二次会议通过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日湖北省第十一届人民代表大会常务委员会第九次会议批准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日武汉市第十四届人民代表大会常务委员会第七次会议通过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日湖北省第十三届人民代表大会常务委员会第二次会议批准的《武汉市人民代表大会常务委员会关于修改和废止〈武汉市防洪管理规定〉等八件地方性法规的决定》修正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日湖北省第十三届人民代表大会常务委员会第三十一次会议批准的《武汉市人民代表大会常务委员会关于修改和废止部分地方性法规的决定》第三次修正）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75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预　防</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治　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监　督</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9"/>
        <w:ind w:firstLine="707"/>
        <w:jc w:val="left"/>
        <w:rPr>
          <w:rStyle w:val="C3"/>
          <w:rFonts w:ascii="楷体_GB2312" w:hAnsi="楷体_GB2312"/>
          <w:sz w:val="32"/>
        </w:rPr>
      </w:pPr>
      <w:r>
        <w:rPr>
          <w:rStyle w:val="C3"/>
          <w:rFonts w:ascii="Microsoft YaHei UI" w:hAnsi="Microsoft YaHei UI"/>
          <w:sz w:val="32"/>
        </w:rPr>
        <w:t>第六章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根据《中华人民共和国水土保持法》、《中华人民共和国水土保持法实施条例》、《湖北省实施〈中华人民共和国水土保持法〉办法》等有关法律法规，结合本市实际，制定本条例。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本条例适用于本市行政区域内水土流失的预防、治理和监督管理工作。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本条例所称水土保持，是指对自然因素和人为活动造成水土流失所采取的预防和治理措施。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市、区人民政府应当将水土保持工作纳入国民经济和社会发展计划，建立水土保持工作协调机制，加强组织协调，安排专项资金，组织实施。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市、区水行政部门主管本行政区域内的水土保持工作。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国土资源、规划、建设、环保、农业、林业、园林等有关部门在各自职责范围内依法协同做好水土保持相关工作。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武汉经济技术开发区管理委员会、武汉东湖新技术开发区管理委员会和武汉市东湖生态旅游风景区管理委员会按照本条例关于区人民政府及区水行政部门管理职责的规定，负责其管理区域内水土保持工作的管理。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市水行政部门应当在调查评价水土资源的基础上，会同国土资源、规划、建设、环保、农业、林业、园林等有关部门编制全市水土保持规划，报市人民政府批准后实施。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对在水土保持工作中成绩显著的单位和个人，由市、区人民政府给予表彰和奖励。</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预防</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市、区人民政府应当采取有效措施，组织植树造林，扩大林草植被覆盖面积，防治水土流失，保护水土资源，改善生态环境。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江河、湖泊、水库、港渠、塘堰等滨水地带的水土保持，应当符合防洪安全要求，除必须的硬化措施外，应当采取生态方法，建设滨水绿化带。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严格控制征用林地、采伐林木。经批准采伐林木的，应当因地制宜地采用合理采伐方式，严格控制皆伐，对采伐区和集材道采取防止水土流失的措施，并在采伐后按规定及时更新造林。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采伐林木的，采伐方案中必须有采伐区水土保持措施。林业部门批准采伐方案后，应当将采伐方案抄送水行政部门，共同监督采伐单位实施采伐区水土保持措施。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对水土保持林只准进行抚育、更新和维护性质的采伐。水土保持林的范围，由区人民政府组织水行政部门和林业部门划定并公告。</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本市划定山体保护范围。禁止在山体保护范围内擅自挖砂、采石、取土。</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依法批准开山采石的，应当采取先进生产工艺，提高石材利用率，并设立弃渣场，修砌挡土墙，防止弃渣流失；沿开采面合理布设截、排水沟，在排水口设置沉沙池，将泥沙流失控制在开采区范围内，减少对周边环境的影响。</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生产建设单位在编制水土保持方案时，应当按照国家和省规定的征占地面积、挖填土石方总量等标准相应编制水土保持方案报告书、报告表。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水土保持方案报告书、报告表应当按照生产建设项目立项权限报市水行政部门或者所在地区综合行政审批部门批准。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依法应当编制水土保持方案的生产建设项目，生产建设单位未编制水土保持方案或者水土保持方案未经批准的，不得开工建设。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水行政部门应当加强与开发建设单位的联系，为开发建设单位提供服务，并指导其按照批准的水土保持方案开展水土保持工作。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发建设单位应当严格按照规定的标准配套建设绿地，对形成的开挖、填土边坡，排弃、堆垫场地，应当采取布设拦挡、护坡、截排水、沉沙、栽植林草等措施；在保证边坡稳定的条件下，限制表面硬覆盖措施，严格控制对原地表的扰动，保护现有林草植被，防止因施工引起水土流失和对生态环境的破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对暂不开发使用的土地，土地使用权人应当采取水土保持措施，防止水土流失。</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建设公园、广场、人行道、露天停车场等市政设施，除必须的硬化措施外，应当种植林草，使用透水、蓄水新技术、新材料代替硬覆盖，通过雨水入渗增加土壤涵水量，预防裸露地面的水土流失，改善生态环境。</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治理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因开发建设活动造成水土流失的，应当按照谁造成水土流失谁负责治理的原则，由责任人按照国家规定的标准进行治理。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因自然因素造成水土流失的，由所在区人民政府按照市人民政府批准的水土保持规划制定年度水土流失治理计划，组织有关部门和单位进行治理。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单位或者个人在开发建设过程中造成水土流失的，应当因地制宜采取措施加以治理。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城市水土流失治理应当以采取生态措施为主，种植林草，恢复植被，改善生态环境。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农村水土流失治理，应当以小流域为单元，采用治坡与治沟相结合、田间工程与蓄水保土耕作相结合、治理与开发利用相结合的综合治理方法，建立完整的防治体系。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荒山、荒沟、荒丘、荒滩实行承包经营的，应当将水土流失防治的责任列入承包合同。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区水行政部门应当加强荒山、荒沟、荒丘、荒滩水土流失防治的指导和监督，提供技术服务；对不履行防治责任的，责令限期改正；逾期达不到防治要求的，应当督促发包方追究承包经营者违约责任。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监督</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水行政部门应当建立执法巡查制度，加强水土保持的监督管理。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单位或者个人有权对破坏水土资源、造成水土流失的行为进行举报；水行政部门应当公布举报电话，及时受理举报，并限期处理。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市、区人民政府应当加强水土保持的监测工作，建立健全水土保持监测机构，完善监测网络体系。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有水土流失防治任务的开发建设项目，开发建设单位应当设立专项监测点对水土流失状况进行监测，并定期向水行政部门报告监测结果。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国土资源管理部门应当开展因地质灾害造成水土流失的监测预警工作，并且及时向社会公布。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市水行政部门应当每年向市人民政府报告水土保持监测情况，并且向社会公告。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水土保持监测情况的报告或者公告应当包括下列事项：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（一）水土流失的面积、分布状况和流失程度；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（二）水土流失造成的危害及其发展趋势；</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（三）水土流失防治情况及其效益。</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水土保持方案未经批准擅自动工的，由区级以上人民政府水行政部门责令停止违法行为，限期补办手续；逾期不补办手续的，处五万元以上五十万元以下的罚款；对生产建设单位直接负责的主管人员和其他直接责任人员依法给予处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单位或者个人在开发建设过程中造成水土流失不进行治理的，由区级以上人民政府水行政部门责令限期治理；逾期仍不治理的，区级以上人民政府水行政部门可以指定有治理能力的单位代为治理，所需费用由违法行为人承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违法开山采石的，由国土资源主管部门按照矿产资源管理法律法规的有关规定予以处罚。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对违反林业、园林、环保等有关规定的，由林业、园林、环保部门依法予以处罚。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有关行政主管部门及其工作人员在水土保持工作中有下列情形之一的，由其上级行政机关或者监察机关责令改正，对直接负责的主管人员和其他直接责任人员依法给予处分；构成犯罪的，依法追究刑事责任：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（一）对不符合法定条件的申请人核发审批文件的；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（二）不履行监督职责或者发现违法行为不予查处，造成严重后果的；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（三）有其他玩忽职守、滥用职权、徇私舞弊行为的。</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2024-08-28T01:37:16Z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7DBD7E3779A34652A4A4DB9474293211</vt:lpwstr>
  </property>
</Properties>
</file>