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81E589" Type="http://schemas.openxmlformats.org/officeDocument/2006/relationships/officeDocument" Target="/word/document.xml" /><Relationship Id="coreR1081E589" Type="http://schemas.openxmlformats.org/package/2006/relationships/metadata/core-properties" Target="/docProps/core.xml" /><Relationship Id="customR1081E5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19"/>
        <w:rPr>
          <w:rStyle w:val="C3"/>
          <w:sz w:val="32"/>
        </w:rPr>
      </w:pPr>
    </w:p>
    <w:p>
      <w:pPr>
        <w:pStyle w:val="P1"/>
        <w:spacing w:lineRule="exact" w:line="578"/>
        <w:ind w:firstLine="19"/>
        <w:rPr>
          <w:rStyle w:val="C3"/>
          <w:sz w:val="32"/>
        </w:rPr>
      </w:pPr>
    </w:p>
    <w:p>
      <w:pPr>
        <w:pStyle w:val="P1"/>
        <w:spacing w:lineRule="exact" w:line="578"/>
        <w:ind w:firstLine="26"/>
        <w:jc w:val="center"/>
        <w:rPr>
          <w:rStyle w:val="C3"/>
          <w:rFonts w:ascii="宋体" w:hAnsi="宋体"/>
          <w:sz w:val="44"/>
        </w:rPr>
      </w:pPr>
      <w:r>
        <w:rPr>
          <w:rStyle w:val="C3"/>
          <w:rFonts w:ascii="宋体" w:hAnsi="宋体"/>
          <w:sz w:val="44"/>
        </w:rPr>
        <w:t>太原市晋祠保护条例</w:t>
      </w:r>
    </w:p>
    <w:p>
      <w:pPr>
        <w:pStyle w:val="P1"/>
        <w:spacing w:lineRule="exact" w:line="578"/>
        <w:ind w:firstLine="880"/>
        <w:jc w:val="center"/>
        <w:rPr>
          <w:rStyle w:val="C3"/>
          <w:rFonts w:ascii="宋体" w:hAnsi="宋体"/>
          <w:sz w:val="44"/>
        </w:rPr>
      </w:pPr>
    </w:p>
    <w:p>
      <w:pPr>
        <w:pStyle w:val="P1"/>
        <w:spacing w:lineRule="exact" w:line="578"/>
        <w:ind w:firstLine="0" w:left="640" w:right="56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日太原市第十届人民代表大会常务委员会第三十七次会议　通过</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日山西省第九届人民代表大会常务委员会第二十八次会议批准</w:t>
      </w:r>
    </w:p>
    <w:p>
      <w:pPr>
        <w:pStyle w:val="P1"/>
        <w:spacing w:lineRule="exact" w:line="578"/>
        <w:ind w:firstLine="0" w:left="640" w:right="56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日山西省第十一届人民代表大会常务委员会第二十九次会议批准的</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日太原市第十二届人民代表大会常务委员会第三十九次会议通过的《太原市人民代表大会常务委员会关于修改部分地方性法规的决定》第一次修正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日山西省第十二届人民代表大会常务委员会第二十三次会议批准的</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日太原市第十三届人民代表大会常务委员会第三十三次会议通过的《太原市人民代表大会常务委员会关于集中修改部分地方性法规的决定》第二次修正　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日山西省第十二届人民代表大会常务委员会第四十二次会议批准的</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日太原市第十四届人民代表大会常务委员会第五次会议通过的《太原市人民代表大会常务委员会关于修改〈太原市晋祠保护条例〉等五部地方性法规的决定》第三次修正）</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黑体" w:hAnsi="黑体"/>
          <w:sz w:val="32"/>
        </w:rPr>
        <w:t>第一条</w:t>
      </w:r>
      <w:r>
        <w:rPr>
          <w:rStyle w:val="C3"/>
          <w:rFonts w:ascii="方正姚体" w:hAnsi="方正姚体"/>
          <w:sz w:val="32"/>
        </w:rPr>
        <w:t>　为了加强对晋祠的保护和管理，根据《中华人民共和国文物保护法》以及其他有关法律、法规的规定，制定本条例。</w:t>
      </w:r>
    </w:p>
    <w:p>
      <w:pPr>
        <w:pStyle w:val="P1"/>
        <w:spacing w:lineRule="exact" w:line="578"/>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晋祠保护区分为重点保护区和建设控制区。</w:t>
      </w:r>
    </w:p>
    <w:p>
      <w:pPr>
        <w:pStyle w:val="P1"/>
        <w:spacing w:lineRule="exact" w:line="578"/>
        <w:ind w:firstLine="640"/>
        <w:rPr>
          <w:rStyle w:val="C3"/>
          <w:rFonts w:ascii="仿宋_GB2312" w:hAnsi="仿宋_GB2312"/>
          <w:sz w:val="32"/>
        </w:rPr>
      </w:pPr>
      <w:r>
        <w:rPr>
          <w:rStyle w:val="C3"/>
          <w:rFonts w:ascii="方正姚体" w:hAnsi="方正姚体"/>
          <w:sz w:val="32"/>
        </w:rPr>
        <w:t>重点保护区的范</w:t>
      </w:r>
      <w:r>
        <w:rPr>
          <w:rStyle w:val="C3"/>
          <w:rFonts w:ascii="Microsoft YaHei UI" w:hAnsi="Microsoft YaHei UI"/>
          <w:sz w:val="32"/>
        </w:rPr>
        <w:t>围是晋祠围墙内和以围墙为基线，向东、南、北方向各延伸</w:t>
      </w:r>
      <w:r>
        <w:rPr>
          <w:rStyle w:val="C3"/>
          <w:rFonts w:ascii="仿宋_GB2312" w:hAnsi="仿宋_GB2312"/>
          <w:sz w:val="32"/>
        </w:rPr>
        <w:t>50</w:t>
      </w:r>
      <w:r>
        <w:rPr>
          <w:rStyle w:val="C3"/>
          <w:rFonts w:ascii="Microsoft YaHei UI" w:hAnsi="Microsoft YaHei UI"/>
          <w:sz w:val="32"/>
        </w:rPr>
        <w:t>米，向西延伸至悬瓮山主峰的区域。</w:t>
      </w:r>
    </w:p>
    <w:p>
      <w:pPr>
        <w:pStyle w:val="P1"/>
        <w:spacing w:lineRule="exact" w:line="578"/>
        <w:ind w:firstLine="640"/>
        <w:rPr>
          <w:rStyle w:val="C3"/>
          <w:sz w:val="32"/>
        </w:rPr>
      </w:pPr>
      <w:r>
        <w:rPr>
          <w:rStyle w:val="C3"/>
          <w:rFonts w:ascii="Microsoft YaHei UI" w:hAnsi="Microsoft YaHei UI"/>
          <w:sz w:val="32"/>
        </w:rPr>
        <w:t>建设控制区的范围是从重点保护区外围向东延伸至晋夏公路，向南延伸至马房峪沙河，向</w:t>
      </w:r>
      <w:r>
        <w:rPr>
          <w:rStyle w:val="C3"/>
          <w:rFonts w:ascii="方正姚体" w:hAnsi="方正姚体"/>
          <w:sz w:val="32"/>
        </w:rPr>
        <w:t>北延伸明仙峪沙河，向西延伸至悬瓮山西麓。</w:t>
      </w:r>
    </w:p>
    <w:p>
      <w:pPr>
        <w:pStyle w:val="P1"/>
        <w:spacing w:lineRule="exact" w:line="578"/>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晋祠保护区内的所有单位和个人，以及进入晋祠保护区参观、游览、考察的单位和个人，均应遵守本条例。</w:t>
      </w:r>
    </w:p>
    <w:p>
      <w:pPr>
        <w:pStyle w:val="P1"/>
        <w:spacing w:lineRule="exact" w:line="578"/>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市文物行政管理部门是晋祠保护和管理工作的主管部门，负责组织协调有关部门做好晋祠的保护和管理工作。</w:t>
      </w:r>
    </w:p>
    <w:p>
      <w:pPr>
        <w:pStyle w:val="P1"/>
        <w:spacing w:lineRule="exact" w:line="578"/>
        <w:ind w:firstLine="640"/>
        <w:rPr>
          <w:rStyle w:val="C3"/>
          <w:sz w:val="32"/>
        </w:rPr>
      </w:pPr>
      <w:r>
        <w:rPr>
          <w:rStyle w:val="C3"/>
          <w:rFonts w:ascii="方正姚体" w:hAnsi="方正姚体"/>
          <w:sz w:val="32"/>
        </w:rPr>
        <w:t>市人民政府有关部门和晋源区人民政府，应当根据各自职责做好晋祠的保护工作。</w:t>
      </w:r>
    </w:p>
    <w:p>
      <w:pPr>
        <w:pStyle w:val="P1"/>
        <w:spacing w:lineRule="exact" w:line="578"/>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晋祠保护、管理和维修经费的主要来源：</w:t>
      </w:r>
    </w:p>
    <w:p>
      <w:pPr>
        <w:pStyle w:val="P1"/>
        <w:spacing w:lineRule="exact" w:line="578"/>
        <w:ind w:firstLine="640"/>
        <w:rPr>
          <w:rStyle w:val="C3"/>
          <w:sz w:val="32"/>
        </w:rPr>
      </w:pPr>
      <w:r>
        <w:rPr>
          <w:rStyle w:val="C3"/>
          <w:rFonts w:ascii="方正姚体" w:hAnsi="方正姚体"/>
          <w:sz w:val="32"/>
        </w:rPr>
        <w:t>（一）国家、省人民政府和其他有关部门的专项拨款；</w:t>
      </w:r>
    </w:p>
    <w:p>
      <w:pPr>
        <w:pStyle w:val="P1"/>
        <w:spacing w:lineRule="exact" w:line="578"/>
        <w:ind w:firstLine="640"/>
        <w:rPr>
          <w:rStyle w:val="C3"/>
          <w:sz w:val="32"/>
        </w:rPr>
      </w:pPr>
      <w:r>
        <w:rPr>
          <w:rStyle w:val="C3"/>
          <w:rFonts w:ascii="方正姚体" w:hAnsi="方正姚体"/>
          <w:sz w:val="32"/>
        </w:rPr>
        <w:t>（二）市财政预算；</w:t>
      </w:r>
    </w:p>
    <w:p>
      <w:pPr>
        <w:pStyle w:val="P1"/>
        <w:spacing w:lineRule="exact" w:line="578"/>
        <w:ind w:firstLine="640"/>
        <w:rPr>
          <w:rStyle w:val="C3"/>
          <w:sz w:val="32"/>
        </w:rPr>
      </w:pPr>
      <w:r>
        <w:rPr>
          <w:rStyle w:val="C3"/>
          <w:rFonts w:ascii="方正姚体" w:hAnsi="方正姚体"/>
          <w:sz w:val="32"/>
        </w:rPr>
        <w:t>（三）国内外团体和个人的捐赠款。</w:t>
      </w:r>
    </w:p>
    <w:p>
      <w:pPr>
        <w:pStyle w:val="P1"/>
        <w:spacing w:lineRule="exact" w:line="578"/>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单位和个人都有保护晋祠的义务，有权对盗窃、损坏文物的行为检举、控告。</w:t>
      </w:r>
    </w:p>
    <w:p>
      <w:pPr>
        <w:pStyle w:val="P1"/>
        <w:spacing w:lineRule="exact" w:line="578"/>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市人民政府应当对在保护和管理晋祠文物工作中做出突出贡献的单位和个人，给予表彰和奖励。</w:t>
      </w:r>
    </w:p>
    <w:p>
      <w:pPr>
        <w:pStyle w:val="P1"/>
        <w:spacing w:lineRule="exact" w:line="578"/>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市文物行政管理部门应当运用先进科学技术，建立严密的防范机制，切实加强防火、防盗，提高保护管理文物的水平。</w:t>
      </w:r>
    </w:p>
    <w:p>
      <w:pPr>
        <w:pStyle w:val="P1"/>
        <w:spacing w:lineRule="exact" w:line="578"/>
        <w:ind w:firstLine="640"/>
        <w:rPr>
          <w:rStyle w:val="C3"/>
          <w:sz w:val="32"/>
        </w:rPr>
      </w:pPr>
      <w:r>
        <w:rPr>
          <w:rStyle w:val="C3"/>
          <w:rFonts w:ascii="黑体" w:hAnsi="黑体"/>
          <w:sz w:val="32"/>
        </w:rPr>
        <w:t>第九条</w:t>
      </w:r>
      <w:r>
        <w:rPr>
          <w:rStyle w:val="C3"/>
          <w:rFonts w:ascii="方正姚体" w:hAnsi="方正姚体"/>
          <w:sz w:val="32"/>
        </w:rPr>
        <w:t>　市文物行政管理部门应当对圣母殿、鱼沼飞梁、献殿、周柏、唐槐、难老泉、宋塑侍女像等重点文物逐一制定出具体保护措施，给予特殊保护，并建立保护维修档案。</w:t>
      </w:r>
    </w:p>
    <w:p>
      <w:pPr>
        <w:pStyle w:val="P2"/>
        <w:widowControl w:val="0"/>
        <w:spacing w:lineRule="exact" w:line="578"/>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市文物行政管理部门应当在晋祠重点保护区和建设控制区设置明显保护标志，作出标志说明，建立记录档案。任何单位和个人不得擅自移动或者损毁、拆除保护标志。</w:t>
      </w:r>
    </w:p>
    <w:p>
      <w:pPr>
        <w:pStyle w:val="P1"/>
        <w:spacing w:lineRule="exact" w:line="578"/>
        <w:ind w:firstLine="640"/>
        <w:rPr>
          <w:rStyle w:val="C3"/>
          <w:sz w:val="32"/>
        </w:rPr>
      </w:pPr>
      <w:r>
        <w:rPr>
          <w:rStyle w:val="C3"/>
          <w:rFonts w:ascii="黑体" w:hAnsi="黑体"/>
          <w:sz w:val="32"/>
        </w:rPr>
        <w:t>第十一条</w:t>
      </w:r>
      <w:r>
        <w:rPr>
          <w:rStyle w:val="C3"/>
          <w:rFonts w:ascii="方正姚体" w:hAnsi="方正姚体"/>
          <w:sz w:val="32"/>
        </w:rPr>
        <w:t>　晋祠围墙内禁止下列行为：</w:t>
      </w:r>
    </w:p>
    <w:p>
      <w:pPr>
        <w:pStyle w:val="P1"/>
        <w:spacing w:lineRule="exact" w:line="578"/>
        <w:ind w:firstLine="640"/>
        <w:rPr>
          <w:rStyle w:val="C3"/>
          <w:sz w:val="32"/>
        </w:rPr>
      </w:pPr>
      <w:r>
        <w:rPr>
          <w:rStyle w:val="C3"/>
          <w:rFonts w:ascii="方正姚体" w:hAnsi="方正姚体"/>
          <w:sz w:val="32"/>
        </w:rPr>
        <w:t>（一）擅自拓印石刻、复制文物、测绘古建筑和纪念建筑物；</w:t>
      </w:r>
    </w:p>
    <w:p>
      <w:pPr>
        <w:pStyle w:val="P1"/>
        <w:spacing w:lineRule="exact" w:line="578"/>
        <w:ind w:firstLine="640"/>
        <w:rPr>
          <w:rStyle w:val="C3"/>
          <w:sz w:val="32"/>
        </w:rPr>
      </w:pPr>
      <w:r>
        <w:rPr>
          <w:rStyle w:val="C3"/>
          <w:rFonts w:ascii="方正姚体" w:hAnsi="方正姚体"/>
          <w:sz w:val="32"/>
        </w:rPr>
        <w:t>（二）擅自拍摄室内塑像、壁画；</w:t>
      </w:r>
    </w:p>
    <w:p>
      <w:pPr>
        <w:pStyle w:val="P1"/>
        <w:spacing w:lineRule="exact" w:line="578"/>
        <w:ind w:firstLine="640"/>
        <w:rPr>
          <w:rStyle w:val="C3"/>
          <w:sz w:val="32"/>
        </w:rPr>
      </w:pPr>
      <w:r>
        <w:rPr>
          <w:rStyle w:val="C3"/>
          <w:rFonts w:ascii="方正姚体" w:hAnsi="方正姚体"/>
          <w:sz w:val="32"/>
        </w:rPr>
        <w:t>（三）刻划、涂污文物；</w:t>
      </w:r>
    </w:p>
    <w:p>
      <w:pPr>
        <w:pStyle w:val="P1"/>
        <w:spacing w:lineRule="exact" w:line="578"/>
        <w:ind w:firstLine="640"/>
        <w:rPr>
          <w:rStyle w:val="C3"/>
          <w:sz w:val="32"/>
        </w:rPr>
      </w:pPr>
      <w:r>
        <w:rPr>
          <w:rStyle w:val="C3"/>
          <w:rFonts w:ascii="方正姚体" w:hAnsi="方正姚体"/>
          <w:sz w:val="32"/>
        </w:rPr>
        <w:t>（四）攀登、毁坏树木和毁坏绿地；</w:t>
      </w:r>
    </w:p>
    <w:p>
      <w:pPr>
        <w:pStyle w:val="P1"/>
        <w:spacing w:lineRule="exact" w:line="578"/>
        <w:ind w:firstLine="640"/>
        <w:rPr>
          <w:rStyle w:val="C3"/>
          <w:sz w:val="32"/>
        </w:rPr>
      </w:pPr>
      <w:r>
        <w:rPr>
          <w:rStyle w:val="C3"/>
          <w:rFonts w:ascii="方正姚体" w:hAnsi="方正姚体"/>
          <w:sz w:val="32"/>
        </w:rPr>
        <w:t>（五）捞鱼、扔杂物；</w:t>
      </w:r>
    </w:p>
    <w:p>
      <w:pPr>
        <w:pStyle w:val="P1"/>
        <w:spacing w:lineRule="exact" w:line="578"/>
        <w:ind w:firstLine="640"/>
        <w:rPr>
          <w:rStyle w:val="C3"/>
          <w:sz w:val="32"/>
        </w:rPr>
      </w:pPr>
      <w:r>
        <w:rPr>
          <w:rStyle w:val="C3"/>
          <w:rFonts w:ascii="方正姚体" w:hAnsi="方正姚体"/>
          <w:sz w:val="32"/>
        </w:rPr>
        <w:t>（六）燃放烟花爆竹、焚烧杂物。</w:t>
      </w:r>
    </w:p>
    <w:p>
      <w:pPr>
        <w:pStyle w:val="P1"/>
        <w:spacing w:lineRule="exact" w:line="578"/>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禁止机动车辆驶入晋祠围墙内，执行消防、急救、抢险任务的车辆除外。</w:t>
      </w:r>
    </w:p>
    <w:p>
      <w:pPr>
        <w:pStyle w:val="P2"/>
        <w:widowControl w:val="0"/>
        <w:spacing w:lineRule="exact" w:line="578"/>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在晋祠保护区内拍摄电影、电视，应当经市文物行政管理部门同意，并在管理人员的监督下进行。</w:t>
      </w:r>
    </w:p>
    <w:p>
      <w:pPr>
        <w:pStyle w:val="P1"/>
        <w:spacing w:lineRule="exact" w:line="578"/>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在晋祠重点保护区内，不得建造影响晋祠文物保护的建筑物、构筑物；已存在的，由市人民政府负责拆除或搬迁。</w:t>
      </w:r>
    </w:p>
    <w:p>
      <w:pPr>
        <w:pStyle w:val="P1"/>
        <w:spacing w:lineRule="exact" w:line="578"/>
        <w:ind w:firstLine="640"/>
        <w:rPr>
          <w:rStyle w:val="C3"/>
          <w:sz w:val="32"/>
        </w:rPr>
      </w:pPr>
      <w:r>
        <w:rPr>
          <w:rStyle w:val="C3"/>
          <w:rFonts w:ascii="方正姚体" w:hAnsi="方正姚体"/>
          <w:sz w:val="32"/>
        </w:rPr>
        <w:t>在晋祠建设控制区内，不得建设影响和危害晋祠安全的设施；不得新建与晋祠环境风貌和文化内涵不协调的建筑物、构筑物。</w:t>
      </w:r>
    </w:p>
    <w:p>
      <w:pPr>
        <w:pStyle w:val="P1"/>
        <w:spacing w:lineRule="exact" w:line="578"/>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新建过境晋祠重点保护区的通讯、输电线路应当铺设地下管线。已有的空架通讯、输电线路，应当逐步改为地下管线。</w:t>
      </w:r>
    </w:p>
    <w:p>
      <w:pPr>
        <w:pStyle w:val="P1"/>
        <w:spacing w:lineRule="exact" w:line="578"/>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凡在晋祠重点保护区从事经营活动的单位和个人，应当征得市文物行政管理部门的同意。</w:t>
      </w:r>
    </w:p>
    <w:p>
      <w:pPr>
        <w:pStyle w:val="P1"/>
        <w:spacing w:lineRule="exact" w:line="578"/>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在晋祠保护区内禁止下列行为：</w:t>
      </w:r>
    </w:p>
    <w:p>
      <w:pPr>
        <w:pStyle w:val="P1"/>
        <w:spacing w:lineRule="exact" w:line="578"/>
        <w:ind w:firstLine="640"/>
        <w:rPr>
          <w:rStyle w:val="C3"/>
          <w:sz w:val="32"/>
        </w:rPr>
      </w:pPr>
      <w:r>
        <w:rPr>
          <w:rStyle w:val="C3"/>
          <w:rFonts w:ascii="方正姚体" w:hAnsi="方正姚体"/>
          <w:sz w:val="32"/>
        </w:rPr>
        <w:t>（一）随意堆放、倾倒垃圾；</w:t>
      </w:r>
    </w:p>
    <w:p>
      <w:pPr>
        <w:pStyle w:val="P1"/>
        <w:spacing w:lineRule="exact" w:line="578"/>
        <w:ind w:firstLine="640"/>
        <w:rPr>
          <w:rStyle w:val="C3"/>
          <w:sz w:val="32"/>
        </w:rPr>
      </w:pPr>
      <w:r>
        <w:rPr>
          <w:rStyle w:val="C3"/>
          <w:rFonts w:ascii="方正姚体" w:hAnsi="方正姚体"/>
          <w:sz w:val="32"/>
        </w:rPr>
        <w:t>（二）超标准排放废气、废水；</w:t>
      </w:r>
    </w:p>
    <w:p>
      <w:pPr>
        <w:pStyle w:val="P1"/>
        <w:spacing w:lineRule="exact" w:line="578"/>
        <w:ind w:firstLine="640"/>
        <w:rPr>
          <w:rStyle w:val="C3"/>
          <w:sz w:val="32"/>
        </w:rPr>
      </w:pPr>
      <w:r>
        <w:rPr>
          <w:rStyle w:val="C3"/>
          <w:rFonts w:ascii="方正姚体" w:hAnsi="方正姚体"/>
          <w:sz w:val="32"/>
        </w:rPr>
        <w:t>（三）堆放工业固体废物；</w:t>
      </w:r>
    </w:p>
    <w:p>
      <w:pPr>
        <w:pStyle w:val="P1"/>
        <w:spacing w:lineRule="exact" w:line="578"/>
        <w:ind w:firstLine="640"/>
        <w:rPr>
          <w:rStyle w:val="C3"/>
          <w:sz w:val="32"/>
        </w:rPr>
      </w:pPr>
      <w:r>
        <w:rPr>
          <w:rStyle w:val="C3"/>
          <w:rFonts w:ascii="方正姚体" w:hAnsi="方正姚体"/>
          <w:sz w:val="32"/>
        </w:rPr>
        <w:t>（四）砍伐树木、破坏植被；</w:t>
      </w:r>
    </w:p>
    <w:p>
      <w:pPr>
        <w:pStyle w:val="P1"/>
        <w:spacing w:lineRule="exact" w:line="578"/>
        <w:ind w:firstLine="640"/>
        <w:rPr>
          <w:rStyle w:val="C3"/>
          <w:sz w:val="32"/>
        </w:rPr>
      </w:pPr>
      <w:r>
        <w:rPr>
          <w:rStyle w:val="C3"/>
          <w:rFonts w:ascii="方正姚体" w:hAnsi="方正姚体"/>
          <w:sz w:val="32"/>
        </w:rPr>
        <w:t>（五）擅自打井、挖泉。</w:t>
      </w:r>
    </w:p>
    <w:p>
      <w:pPr>
        <w:pStyle w:val="P1"/>
        <w:spacing w:lineRule="exact" w:line="578"/>
        <w:ind w:firstLine="640"/>
        <w:rPr>
          <w:rStyle w:val="C3"/>
          <w:sz w:val="32"/>
        </w:rPr>
      </w:pPr>
      <w:r>
        <w:rPr>
          <w:rStyle w:val="C3"/>
          <w:rFonts w:ascii="黑体" w:hAnsi="黑体"/>
          <w:sz w:val="32"/>
        </w:rPr>
        <w:t>第十八条</w:t>
      </w:r>
      <w:r>
        <w:rPr>
          <w:rStyle w:val="C3"/>
          <w:rFonts w:ascii="方正姚体" w:hAnsi="方正姚体"/>
          <w:sz w:val="32"/>
        </w:rPr>
        <w:t>　禁止在悬瓮山修建坟墓、祭奠烧纸。</w:t>
      </w:r>
    </w:p>
    <w:p>
      <w:pPr>
        <w:pStyle w:val="P2"/>
        <w:widowControl w:val="0"/>
        <w:spacing w:lineRule="exact" w:line="578"/>
        <w:ind w:firstLine="640"/>
        <w:rPr>
          <w:rStyle w:val="C3"/>
          <w:rFonts w:ascii="仿宋_GB2312" w:hAnsi="仿宋_GB2312"/>
          <w:sz w:val="32"/>
        </w:rPr>
      </w:pPr>
      <w:r>
        <w:rPr>
          <w:rStyle w:val="C3"/>
          <w:rFonts w:ascii="黑体" w:hAnsi="黑体"/>
          <w:sz w:val="32"/>
        </w:rPr>
        <w:t>第十九条</w:t>
      </w:r>
      <w:r>
        <w:rPr>
          <w:rStyle w:val="C3"/>
          <w:rFonts w:ascii="方正姚体" w:hAnsi="方正姚体"/>
          <w:sz w:val="32"/>
        </w:rPr>
        <w:t>　违反</w:t>
      </w:r>
      <w:r>
        <w:rPr>
          <w:rStyle w:val="C3"/>
          <w:rFonts w:ascii="Microsoft YaHei UI" w:hAnsi="Microsoft YaHei UI"/>
          <w:sz w:val="32"/>
        </w:rPr>
        <w:t>本条例第十条规定，擅自移动或者损毁、拆除晋祠保护标志的，由市文物行政管理部门给予警告，可以并处</w:t>
      </w:r>
      <w:r>
        <w:rPr>
          <w:rStyle w:val="C3"/>
          <w:rFonts w:ascii="仿宋_GB2312" w:hAnsi="仿宋_GB2312"/>
          <w:sz w:val="32"/>
        </w:rPr>
        <w:t>200</w:t>
      </w:r>
      <w:r>
        <w:rPr>
          <w:rStyle w:val="C3"/>
          <w:rFonts w:ascii="Microsoft YaHei UI" w:hAnsi="Microsoft YaHei UI"/>
          <w:sz w:val="32"/>
        </w:rPr>
        <w:t>元以下的罚款。</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方正姚体" w:hAnsi="方正姚体"/>
          <w:sz w:val="32"/>
        </w:rPr>
        <w:t>　违反</w:t>
      </w:r>
      <w:r>
        <w:rPr>
          <w:rStyle w:val="C3"/>
          <w:rFonts w:ascii="Microsoft YaHei UI" w:hAnsi="Microsoft YaHei UI"/>
          <w:sz w:val="32"/>
        </w:rPr>
        <w:t>本条例第十一条规定之一的，由市文物行政管理部门予以警告，并可处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元以下罚款；造成损失的，赔偿损失。</w:t>
      </w:r>
    </w:p>
    <w:p>
      <w:pPr>
        <w:pStyle w:val="P1"/>
        <w:spacing w:lineRule="exact" w:line="578"/>
        <w:ind w:firstLine="640"/>
        <w:rPr>
          <w:rStyle w:val="C3"/>
          <w:sz w:val="32"/>
        </w:rPr>
      </w:pPr>
      <w:r>
        <w:rPr>
          <w:rStyle w:val="C3"/>
          <w:rFonts w:ascii="黑体" w:hAnsi="黑体"/>
          <w:sz w:val="32"/>
        </w:rPr>
        <w:t>第二十一条</w:t>
      </w:r>
      <w:r>
        <w:rPr>
          <w:rStyle w:val="C3"/>
          <w:rFonts w:ascii="方正姚体" w:hAnsi="方正姚体"/>
          <w:sz w:val="32"/>
        </w:rPr>
        <w:t>　违反本条例第十四条第二款、第十七条、第十八条规定的，由市文物行政管理部门责令停止违法行为、采取补救措施、限期治理、赔偿损失，并由有关部门依法给予罚款。</w:t>
      </w:r>
    </w:p>
    <w:p>
      <w:pPr>
        <w:pStyle w:val="P1"/>
        <w:spacing w:lineRule="exact" w:line="578"/>
        <w:ind w:firstLine="640"/>
        <w:rPr>
          <w:rStyle w:val="C3"/>
          <w:sz w:val="32"/>
        </w:rPr>
      </w:pPr>
      <w:r>
        <w:rPr>
          <w:rStyle w:val="C3"/>
          <w:rFonts w:ascii="黑体" w:hAnsi="黑体"/>
          <w:sz w:val="32"/>
        </w:rPr>
        <w:t>第二十二条</w:t>
      </w:r>
      <w:r>
        <w:rPr>
          <w:rStyle w:val="C3"/>
          <w:rFonts w:ascii="方正姚体" w:hAnsi="方正姚体"/>
          <w:sz w:val="32"/>
        </w:rPr>
        <w:t>　晋祠保护和管理的工作人员滥用职权、徇私舞弊、玩忽职守的，依法给予处分；构成犯罪的，依法追究刑事责任。</w:t>
      </w:r>
    </w:p>
    <w:p>
      <w:pPr>
        <w:pStyle w:val="P1"/>
        <w:spacing w:lineRule="exact" w:line="578"/>
        <w:ind w:firstLine="640"/>
        <w:rPr>
          <w:rStyle w:val="C3"/>
          <w:sz w:val="32"/>
        </w:rPr>
      </w:pPr>
      <w:r>
        <w:rPr>
          <w:rStyle w:val="C3"/>
          <w:rFonts w:ascii="黑体" w:hAnsi="黑体"/>
          <w:sz w:val="32"/>
        </w:rPr>
        <w:t>第二十三条</w:t>
      </w:r>
      <w:r>
        <w:rPr>
          <w:rStyle w:val="C3"/>
          <w:rFonts w:ascii="方正姚体" w:hAnsi="方正姚体"/>
          <w:sz w:val="32"/>
        </w:rPr>
        <w:t>　本条例自公布之日起施行。</w:t>
      </w:r>
    </w:p>
    <w:p>
      <w:pPr>
        <w:pStyle w:val="P1"/>
        <w:spacing w:lineRule="exact" w:line="578"/>
        <w:ind w:firstLine="640"/>
        <w:rPr>
          <w:rStyle w:val="C3"/>
          <w:sz w:val="32"/>
        </w:rPr>
      </w:pPr>
    </w:p>
    <w:p>
      <w:pPr>
        <w:pStyle w:val="P1"/>
        <w:spacing w:lineRule="exact" w:line="578"/>
        <w:ind w:firstLine="640"/>
        <w:rPr>
          <w:rStyle w:val="C3"/>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5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4"/>
      <w:ind w:firstLine="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30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ind w:firstLine="2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ind w:firstLine="21"/>
    </w:pPr>
    <w:rPr>
      <w:sz w:val="20"/>
    </w:rPr>
  </w:style>
  <w:style w:type="paragraph" w:styleId="P2">
    <w:name w:val="p0"/>
    <w:basedOn w:val="P1"/>
    <w:next w:val="P2"/>
    <w:qFormat/>
    <w:pPr>
      <w:widowControl w:val="1"/>
      <w:ind w:firstLine="0"/>
      <w:jc w:val="both"/>
    </w:pPr>
    <w:rPr>
      <w:sz w:val="21"/>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3"/>
    <w:rPr>
      <w:sz w:val="18"/>
    </w:rPr>
  </w:style>
  <w:style w:type="character" w:styleId="C5">
    <w:name w:val=" Char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2019-01-10T04:18:00Z</dcterms:created>
  <cp:lastModifiedBy>f1TZOF\f1TZOF-</cp:lastModifiedBy>
  <dcterms:modified xsi:type="dcterms:W3CDTF">2024-08-28T01:37:17Z</dcterms:modified>
  <cp:revision>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