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海南省人民代表大会常务委员会</w:t>
      </w: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关于在海南经济特区暂停实施部分</w:t>
      </w:r>
    </w:p>
    <w:p>
      <w:pPr>
        <w:pStyle w:val="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atLeas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行政许可事项的决定</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jc w:val="center"/>
        <w:textAlignment w:val="auto"/>
        <w:rPr>
          <w:rFonts w:hint="eastAsia" w:ascii="宋体" w:hAnsi="宋体" w:eastAsia="宋体" w:cs="宋体"/>
          <w:sz w:val="32"/>
          <w:szCs w:val="32"/>
        </w:rPr>
      </w:pP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628" w:leftChars="200" w:right="628"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（2017年3月29日海南省第五届人民代表大会常务委员会第二十七次会议通过）</w:t>
      </w: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40" w:firstLineChars="200"/>
        <w:jc w:val="lef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为了深化行政审批制度改革，推进简政放权，促进政府职能转变，提高行政效率，海南省第五届人民代表大会常务委员会第二十七次会议决定：在海南经济特区暂停实施3大项1子项行政许可事项（目录附后）。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对暂停实施的行政许可事项，省人民政府及其住建、文体、民政、渔业等有关部门应当做好后续衔接工作，加强事中事后监管，防止出现监管真空，及时总结经验，</w:t>
      </w:r>
      <w:r>
        <w:rPr>
          <w:rFonts w:hint="eastAsia" w:ascii="仿宋_GB2312" w:hAnsi="仿宋_GB2312" w:eastAsia="仿宋_GB2312" w:cs="仿宋_GB2312"/>
          <w:color w:val="000000"/>
          <w:sz w:val="32"/>
          <w:szCs w:val="32"/>
        </w:rPr>
        <w:t>并适时就暂停实施行政许可事项的情况向省人民代表大会常务委员会作出报告。</w:t>
      </w:r>
      <w:r>
        <w:rPr>
          <w:rFonts w:hint="eastAsia" w:ascii="仿宋_GB2312" w:hAnsi="仿宋_GB2312" w:eastAsia="仿宋_GB2312" w:cs="仿宋_GB2312"/>
          <w:sz w:val="32"/>
          <w:szCs w:val="32"/>
        </w:rPr>
        <w:t>对实践证明不宜停止实施的，及时恢复实施有关行政许可事项。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widowControl/>
        <w:shd w:val="clear" w:color="auto" w:fill="FFFFFF"/>
        <w:adjustRightInd w:val="0"/>
        <w:spacing w:line="600" w:lineRule="exact"/>
        <w:jc w:val="center"/>
        <w:rPr>
          <w:rFonts w:ascii="黑体" w:hAnsi="黑体" w:eastAsia="黑体"/>
          <w:bCs/>
          <w:color w:val="000000"/>
          <w:sz w:val="44"/>
          <w:szCs w:val="44"/>
        </w:rPr>
      </w:pPr>
      <w:bookmarkStart w:id="0" w:name="_GoBack"/>
      <w:bookmarkEnd w:id="0"/>
      <w:r>
        <w:rPr>
          <w:rFonts w:hint="eastAsia" w:ascii="黑体" w:hAnsi="黑体" w:eastAsia="黑体"/>
          <w:bCs/>
          <w:color w:val="000000"/>
          <w:sz w:val="44"/>
          <w:szCs w:val="44"/>
        </w:rPr>
        <w:t>在海南经济特区暂停实施的行政许可事项</w:t>
      </w:r>
    </w:p>
    <w:p>
      <w:pPr>
        <w:widowControl/>
        <w:shd w:val="clear" w:color="auto" w:fill="FFFFFF"/>
        <w:adjustRightInd w:val="0"/>
        <w:spacing w:line="600" w:lineRule="exact"/>
        <w:jc w:val="center"/>
        <w:rPr>
          <w:rFonts w:ascii="黑体" w:hAnsi="黑体" w:eastAsia="黑体"/>
          <w:bCs/>
          <w:color w:val="000000"/>
          <w:sz w:val="44"/>
          <w:szCs w:val="44"/>
        </w:rPr>
      </w:pPr>
      <w:r>
        <w:rPr>
          <w:rFonts w:hint="eastAsia" w:ascii="黑体" w:hAnsi="黑体" w:eastAsia="黑体"/>
          <w:bCs/>
          <w:color w:val="000000"/>
          <w:sz w:val="44"/>
          <w:szCs w:val="44"/>
        </w:rPr>
        <w:t>目录（3大项1子项）</w:t>
      </w:r>
    </w:p>
    <w:p>
      <w:pPr>
        <w:widowControl/>
        <w:shd w:val="clear" w:color="auto" w:fill="FFFFFF"/>
        <w:adjustRightInd w:val="0"/>
        <w:spacing w:line="600" w:lineRule="exact"/>
        <w:jc w:val="center"/>
        <w:rPr>
          <w:rFonts w:hint="eastAsia" w:eastAsia="方正小标宋简体"/>
          <w:bCs/>
          <w:color w:val="000000"/>
          <w:sz w:val="44"/>
          <w:szCs w:val="44"/>
        </w:rPr>
      </w:pPr>
    </w:p>
    <w:tbl>
      <w:tblPr>
        <w:tblStyle w:val="13"/>
        <w:tblW w:w="91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1293"/>
        <w:gridCol w:w="4536"/>
        <w:gridCol w:w="1417"/>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3" w:hRule="atLeast"/>
          <w:tblHeader/>
          <w:jc w:val="center"/>
        </w:trPr>
        <w:tc>
          <w:tcPr>
            <w:tcW w:w="525" w:type="dxa"/>
            <w:vAlign w:val="center"/>
          </w:tcPr>
          <w:p>
            <w:pPr>
              <w:widowControl/>
              <w:adjustRightInd w:val="0"/>
              <w:spacing w:line="400" w:lineRule="exact"/>
              <w:jc w:val="center"/>
              <w:rPr>
                <w:rFonts w:eastAsia="黑体"/>
                <w:color w:val="000000"/>
                <w:sz w:val="28"/>
                <w:szCs w:val="28"/>
              </w:rPr>
            </w:pPr>
            <w:r>
              <w:rPr>
                <w:rFonts w:hAnsi="黑体" w:eastAsia="黑体"/>
                <w:color w:val="000000"/>
                <w:sz w:val="28"/>
                <w:szCs w:val="28"/>
              </w:rPr>
              <w:t>序号</w:t>
            </w:r>
          </w:p>
        </w:tc>
        <w:tc>
          <w:tcPr>
            <w:tcW w:w="1293" w:type="dxa"/>
            <w:vAlign w:val="center"/>
          </w:tcPr>
          <w:p>
            <w:pPr>
              <w:widowControl/>
              <w:adjustRightInd w:val="0"/>
              <w:spacing w:line="400" w:lineRule="exact"/>
              <w:jc w:val="center"/>
              <w:rPr>
                <w:rFonts w:eastAsia="黑体"/>
                <w:color w:val="000000"/>
                <w:sz w:val="28"/>
                <w:szCs w:val="28"/>
              </w:rPr>
            </w:pPr>
            <w:r>
              <w:rPr>
                <w:rFonts w:hAnsi="黑体" w:eastAsia="黑体"/>
                <w:color w:val="000000"/>
                <w:sz w:val="28"/>
                <w:szCs w:val="28"/>
              </w:rPr>
              <w:t>名</w:t>
            </w:r>
            <w:r>
              <w:rPr>
                <w:rFonts w:eastAsia="黑体"/>
                <w:color w:val="000000"/>
                <w:sz w:val="28"/>
                <w:szCs w:val="28"/>
              </w:rPr>
              <w:t xml:space="preserve"> </w:t>
            </w:r>
            <w:r>
              <w:rPr>
                <w:rFonts w:hAnsi="黑体" w:eastAsia="黑体"/>
                <w:color w:val="000000"/>
                <w:sz w:val="28"/>
                <w:szCs w:val="28"/>
              </w:rPr>
              <w:t>称</w:t>
            </w:r>
          </w:p>
        </w:tc>
        <w:tc>
          <w:tcPr>
            <w:tcW w:w="4536" w:type="dxa"/>
            <w:vAlign w:val="center"/>
          </w:tcPr>
          <w:p>
            <w:pPr>
              <w:widowControl/>
              <w:adjustRightInd w:val="0"/>
              <w:spacing w:line="400" w:lineRule="exact"/>
              <w:jc w:val="center"/>
              <w:rPr>
                <w:rFonts w:hint="eastAsia" w:eastAsia="黑体"/>
                <w:color w:val="000000"/>
                <w:sz w:val="28"/>
                <w:szCs w:val="28"/>
              </w:rPr>
            </w:pPr>
            <w:r>
              <w:rPr>
                <w:rFonts w:hint="eastAsia" w:hAnsi="黑体" w:eastAsia="黑体"/>
                <w:color w:val="000000"/>
                <w:sz w:val="28"/>
                <w:szCs w:val="28"/>
              </w:rPr>
              <w:t>设定</w:t>
            </w:r>
            <w:r>
              <w:rPr>
                <w:rFonts w:hAnsi="黑体" w:eastAsia="黑体"/>
                <w:color w:val="000000"/>
                <w:sz w:val="28"/>
                <w:szCs w:val="28"/>
              </w:rPr>
              <w:t>依据</w:t>
            </w:r>
          </w:p>
        </w:tc>
        <w:tc>
          <w:tcPr>
            <w:tcW w:w="1417" w:type="dxa"/>
            <w:vAlign w:val="center"/>
          </w:tcPr>
          <w:p>
            <w:pPr>
              <w:widowControl/>
              <w:adjustRightInd w:val="0"/>
              <w:spacing w:line="400" w:lineRule="exact"/>
              <w:rPr>
                <w:rFonts w:hAnsi="黑体" w:eastAsia="黑体"/>
                <w:color w:val="000000"/>
                <w:sz w:val="28"/>
                <w:szCs w:val="28"/>
              </w:rPr>
            </w:pPr>
            <w:r>
              <w:rPr>
                <w:rFonts w:hint="eastAsia" w:hAnsi="黑体" w:eastAsia="黑体"/>
                <w:color w:val="000000"/>
                <w:sz w:val="28"/>
                <w:szCs w:val="28"/>
              </w:rPr>
              <w:t>实施机关</w:t>
            </w:r>
          </w:p>
        </w:tc>
        <w:tc>
          <w:tcPr>
            <w:tcW w:w="1389" w:type="dxa"/>
            <w:vAlign w:val="center"/>
          </w:tcPr>
          <w:p>
            <w:pPr>
              <w:widowControl/>
              <w:adjustRightInd w:val="0"/>
              <w:spacing w:line="400" w:lineRule="exact"/>
              <w:jc w:val="center"/>
              <w:rPr>
                <w:rFonts w:eastAsia="黑体"/>
                <w:color w:val="000000"/>
                <w:sz w:val="28"/>
                <w:szCs w:val="28"/>
              </w:rPr>
            </w:pPr>
            <w:r>
              <w:rPr>
                <w:rFonts w:hint="eastAsia" w:eastAsia="黑体"/>
                <w:color w:val="000000"/>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0" w:hRule="atLeast"/>
          <w:jc w:val="center"/>
        </w:trPr>
        <w:tc>
          <w:tcPr>
            <w:tcW w:w="525" w:type="dxa"/>
            <w:vAlign w:val="center"/>
          </w:tcPr>
          <w:p>
            <w:pPr>
              <w:widowControl/>
              <w:adjustRightInd w:val="0"/>
              <w:spacing w:line="400" w:lineRule="exact"/>
              <w:rPr>
                <w:rFonts w:hint="eastAsia" w:ascii="仿宋_GB2312" w:eastAsia="仿宋_GB2312"/>
                <w:color w:val="000000"/>
                <w:sz w:val="28"/>
                <w:szCs w:val="28"/>
              </w:rPr>
            </w:pPr>
            <w:r>
              <w:rPr>
                <w:rFonts w:hint="eastAsia" w:ascii="仿宋_GB2312" w:eastAsia="仿宋_GB2312"/>
                <w:color w:val="000000"/>
                <w:sz w:val="28"/>
                <w:szCs w:val="28"/>
              </w:rPr>
              <w:t>1</w:t>
            </w:r>
          </w:p>
        </w:tc>
        <w:tc>
          <w:tcPr>
            <w:tcW w:w="1293" w:type="dxa"/>
            <w:vAlign w:val="center"/>
          </w:tcPr>
          <w:p>
            <w:pPr>
              <w:widowControl/>
              <w:adjustRightInd w:val="0"/>
              <w:spacing w:line="320" w:lineRule="exact"/>
              <w:jc w:val="left"/>
              <w:rPr>
                <w:rFonts w:hint="eastAsia" w:ascii="仿宋_GB2312" w:eastAsia="仿宋_GB2312"/>
                <w:color w:val="000000"/>
                <w:sz w:val="28"/>
                <w:szCs w:val="28"/>
              </w:rPr>
            </w:pPr>
            <w:r>
              <w:rPr>
                <w:rFonts w:hint="eastAsia" w:ascii="仿宋_GB2312" w:eastAsia="仿宋_GB2312"/>
                <w:color w:val="000000"/>
                <w:sz w:val="28"/>
                <w:szCs w:val="28"/>
              </w:rPr>
              <w:t>城市园林绿化企业资质核准</w:t>
            </w:r>
          </w:p>
        </w:tc>
        <w:tc>
          <w:tcPr>
            <w:tcW w:w="4536" w:type="dxa"/>
            <w:vAlign w:val="center"/>
          </w:tcPr>
          <w:p>
            <w:pPr>
              <w:widowControl/>
              <w:adjustRightInd w:val="0"/>
              <w:spacing w:line="320" w:lineRule="exact"/>
              <w:ind w:firstLine="280" w:firstLineChars="100"/>
              <w:rPr>
                <w:rFonts w:hint="eastAsia" w:ascii="仿宋_GB2312" w:hAnsi="黑体" w:eastAsia="仿宋_GB2312"/>
                <w:color w:val="000000"/>
                <w:sz w:val="28"/>
                <w:szCs w:val="28"/>
              </w:rPr>
            </w:pPr>
            <w:r>
              <w:rPr>
                <w:rFonts w:hint="eastAsia" w:ascii="仿宋_GB2312" w:hAnsi="黑体" w:eastAsia="仿宋_GB2312"/>
                <w:color w:val="000000"/>
                <w:sz w:val="28"/>
                <w:szCs w:val="28"/>
              </w:rPr>
              <w:t>国务院《城市绿化条例》第十一条第一款：“城市绿化工程的设计，应当委托持有相应资格证书的设计单位承担。”</w:t>
            </w:r>
          </w:p>
          <w:p>
            <w:pPr>
              <w:widowControl/>
              <w:adjustRightInd w:val="0"/>
              <w:spacing w:line="320" w:lineRule="exact"/>
              <w:ind w:firstLine="280" w:firstLineChars="100"/>
              <w:rPr>
                <w:rFonts w:hint="eastAsia" w:ascii="仿宋_GB2312" w:eastAsia="仿宋_GB2312"/>
                <w:color w:val="000000"/>
                <w:sz w:val="28"/>
                <w:szCs w:val="28"/>
              </w:rPr>
            </w:pPr>
            <w:r>
              <w:rPr>
                <w:rFonts w:hint="eastAsia" w:ascii="仿宋_GB2312" w:eastAsia="仿宋_GB2312"/>
                <w:color w:val="000000"/>
                <w:sz w:val="28"/>
                <w:szCs w:val="28"/>
              </w:rPr>
              <w:t>《海南省城镇园林绿化条例》第二十一条第一款：“从事城镇园林绿化工程设计、施工、监理的单位和个人，应当依法取得相应的资质和资格证书，定期接受园林绿化主管部门的检查。”</w:t>
            </w:r>
          </w:p>
          <w:p>
            <w:pPr>
              <w:widowControl/>
              <w:adjustRightInd w:val="0"/>
              <w:spacing w:line="320" w:lineRule="exact"/>
              <w:ind w:firstLine="560" w:firstLineChars="200"/>
              <w:rPr>
                <w:rFonts w:hint="eastAsia" w:ascii="仿宋_GB2312" w:eastAsia="仿宋_GB2312"/>
                <w:color w:val="000000"/>
                <w:sz w:val="28"/>
                <w:szCs w:val="28"/>
              </w:rPr>
            </w:pPr>
          </w:p>
        </w:tc>
        <w:tc>
          <w:tcPr>
            <w:tcW w:w="1417" w:type="dxa"/>
            <w:vAlign w:val="center"/>
          </w:tcPr>
          <w:p>
            <w:pPr>
              <w:widowControl/>
              <w:adjustRightInd w:val="0"/>
              <w:spacing w:line="320" w:lineRule="exact"/>
              <w:rPr>
                <w:rFonts w:hint="eastAsia" w:ascii="仿宋_GB2312" w:eastAsia="仿宋_GB2312"/>
                <w:color w:val="000000"/>
                <w:sz w:val="28"/>
                <w:szCs w:val="28"/>
              </w:rPr>
            </w:pPr>
            <w:r>
              <w:rPr>
                <w:rFonts w:hint="eastAsia" w:ascii="仿宋_GB2312" w:hAnsi="仿宋" w:eastAsia="仿宋_GB2312" w:cs="宋体"/>
                <w:kern w:val="0"/>
                <w:sz w:val="28"/>
                <w:szCs w:val="28"/>
              </w:rPr>
              <w:t>省住房</w:t>
            </w:r>
            <w:r>
              <w:rPr>
                <w:rFonts w:hint="eastAsia" w:ascii="仿宋_GB2312" w:hAnsi="黑体" w:eastAsia="仿宋_GB2312" w:cs="宋体"/>
                <w:kern w:val="0"/>
                <w:sz w:val="28"/>
                <w:szCs w:val="28"/>
              </w:rPr>
              <w:t>和</w:t>
            </w:r>
            <w:r>
              <w:rPr>
                <w:rFonts w:hint="eastAsia" w:ascii="仿宋_GB2312" w:hAnsi="仿宋" w:eastAsia="仿宋_GB2312" w:cs="宋体"/>
                <w:kern w:val="0"/>
                <w:sz w:val="28"/>
                <w:szCs w:val="28"/>
              </w:rPr>
              <w:t>城乡建设厅</w:t>
            </w:r>
          </w:p>
        </w:tc>
        <w:tc>
          <w:tcPr>
            <w:tcW w:w="1389" w:type="dxa"/>
            <w:vAlign w:val="center"/>
          </w:tcPr>
          <w:p>
            <w:pPr>
              <w:widowControl/>
              <w:adjustRightInd w:val="0"/>
              <w:spacing w:line="320" w:lineRule="exact"/>
              <w:rPr>
                <w:rFonts w:hint="eastAsia" w:ascii="仿宋_GB2312"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0" w:hRule="atLeast"/>
          <w:jc w:val="center"/>
        </w:trPr>
        <w:tc>
          <w:tcPr>
            <w:tcW w:w="525" w:type="dxa"/>
            <w:vAlign w:val="center"/>
          </w:tcPr>
          <w:p>
            <w:pPr>
              <w:widowControl/>
              <w:adjustRightInd w:val="0"/>
              <w:spacing w:line="400" w:lineRule="exact"/>
              <w:rPr>
                <w:rFonts w:hint="eastAsia" w:ascii="仿宋_GB2312" w:eastAsia="仿宋_GB2312"/>
                <w:color w:val="000000"/>
                <w:sz w:val="28"/>
                <w:szCs w:val="28"/>
              </w:rPr>
            </w:pPr>
            <w:r>
              <w:rPr>
                <w:rFonts w:hint="eastAsia" w:ascii="仿宋_GB2312" w:eastAsia="仿宋_GB2312"/>
                <w:color w:val="000000"/>
                <w:sz w:val="28"/>
                <w:szCs w:val="28"/>
              </w:rPr>
              <w:t>2</w:t>
            </w:r>
          </w:p>
        </w:tc>
        <w:tc>
          <w:tcPr>
            <w:tcW w:w="1293" w:type="dxa"/>
            <w:vAlign w:val="center"/>
          </w:tcPr>
          <w:p>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乡镇设立</w:t>
            </w:r>
            <w:r>
              <w:rPr>
                <w:rFonts w:hint="eastAsia" w:ascii="仿宋_GB2312" w:hAnsi="黑体" w:eastAsia="仿宋_GB2312"/>
                <w:color w:val="000000"/>
                <w:sz w:val="28"/>
                <w:szCs w:val="28"/>
              </w:rPr>
              <w:t>有线</w:t>
            </w:r>
            <w:r>
              <w:rPr>
                <w:rFonts w:hint="eastAsia" w:ascii="仿宋_GB2312" w:eastAsia="仿宋_GB2312"/>
                <w:color w:val="000000"/>
                <w:sz w:val="28"/>
                <w:szCs w:val="28"/>
              </w:rPr>
              <w:t>广播电视站和机关、部队、团体、企业事业单位设立有线广播电视站审批</w:t>
            </w:r>
          </w:p>
        </w:tc>
        <w:tc>
          <w:tcPr>
            <w:tcW w:w="4536" w:type="dxa"/>
            <w:vAlign w:val="center"/>
          </w:tcPr>
          <w:p>
            <w:pPr>
              <w:widowControl/>
              <w:adjustRightInd w:val="0"/>
              <w:spacing w:line="320" w:lineRule="exact"/>
              <w:ind w:firstLine="280" w:firstLineChars="100"/>
              <w:rPr>
                <w:rFonts w:hint="eastAsia" w:ascii="仿宋_GB2312" w:eastAsia="仿宋_GB2312"/>
                <w:color w:val="000000"/>
                <w:sz w:val="28"/>
                <w:szCs w:val="28"/>
              </w:rPr>
            </w:pPr>
            <w:r>
              <w:rPr>
                <w:rFonts w:hint="eastAsia" w:ascii="仿宋_GB2312" w:eastAsia="仿宋_GB2312"/>
                <w:color w:val="000000"/>
                <w:sz w:val="28"/>
                <w:szCs w:val="28"/>
              </w:rPr>
              <w:t xml:space="preserve">国务院《广播电视管理条例》第十五条：“乡、镇设立广播电视站的，由所在地县级以上人民政府广播电视行政部门负责审核，并按照国务院广播电视行政部门的有关规定审批。 </w:t>
            </w:r>
          </w:p>
          <w:p>
            <w:pPr>
              <w:widowControl/>
              <w:adjustRightInd w:val="0"/>
              <w:spacing w:line="320" w:lineRule="exact"/>
              <w:ind w:firstLine="280" w:firstLineChars="100"/>
              <w:rPr>
                <w:rFonts w:hint="eastAsia" w:ascii="仿宋_GB2312" w:eastAsia="仿宋_GB2312"/>
                <w:color w:val="000000"/>
                <w:sz w:val="28"/>
                <w:szCs w:val="28"/>
              </w:rPr>
            </w:pPr>
            <w:r>
              <w:rPr>
                <w:rFonts w:hint="eastAsia" w:ascii="仿宋_GB2312" w:eastAsia="仿宋_GB2312"/>
                <w:color w:val="000000"/>
                <w:sz w:val="28"/>
                <w:szCs w:val="28"/>
              </w:rPr>
              <w:t>机关、部队、团体、企业事业单位设立有线广播电视站的，按照国务院有关规定审批。”</w:t>
            </w:r>
          </w:p>
        </w:tc>
        <w:tc>
          <w:tcPr>
            <w:tcW w:w="1417" w:type="dxa"/>
            <w:vAlign w:val="center"/>
          </w:tcPr>
          <w:p>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省文化广电出版体育厅</w:t>
            </w:r>
          </w:p>
        </w:tc>
        <w:tc>
          <w:tcPr>
            <w:tcW w:w="1389" w:type="dxa"/>
            <w:vAlign w:val="center"/>
          </w:tcPr>
          <w:p>
            <w:pPr>
              <w:widowControl/>
              <w:adjustRightInd w:val="0"/>
              <w:spacing w:line="400" w:lineRule="exact"/>
              <w:rPr>
                <w:rFonts w:hint="eastAsia" w:ascii="仿宋_GB2312"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0" w:hRule="atLeast"/>
          <w:jc w:val="center"/>
        </w:trPr>
        <w:tc>
          <w:tcPr>
            <w:tcW w:w="525" w:type="dxa"/>
            <w:vAlign w:val="center"/>
          </w:tcPr>
          <w:p>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3</w:t>
            </w:r>
          </w:p>
        </w:tc>
        <w:tc>
          <w:tcPr>
            <w:tcW w:w="1293" w:type="dxa"/>
            <w:vAlign w:val="center"/>
          </w:tcPr>
          <w:p>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假肢与矫形器（辅助器具）生产装配企业资格认定</w:t>
            </w:r>
          </w:p>
        </w:tc>
        <w:tc>
          <w:tcPr>
            <w:tcW w:w="4536" w:type="dxa"/>
            <w:vAlign w:val="center"/>
          </w:tcPr>
          <w:p>
            <w:pPr>
              <w:widowControl/>
              <w:adjustRightInd w:val="0"/>
              <w:spacing w:line="320" w:lineRule="exact"/>
              <w:ind w:firstLine="280" w:firstLineChars="100"/>
              <w:rPr>
                <w:rFonts w:hint="eastAsia" w:ascii="仿宋_GB2312" w:eastAsia="仿宋_GB2312"/>
                <w:color w:val="000000"/>
                <w:sz w:val="28"/>
                <w:szCs w:val="28"/>
              </w:rPr>
            </w:pPr>
            <w:r>
              <w:rPr>
                <w:rFonts w:hint="eastAsia" w:ascii="仿宋_GB2312" w:hAnsi="仿宋" w:eastAsia="仿宋_GB2312" w:cs="宋体"/>
                <w:kern w:val="0"/>
                <w:sz w:val="28"/>
                <w:szCs w:val="28"/>
              </w:rPr>
              <w:t>《国务院对确需保留的行政审批项目设定行政许可的决定》第67项“假肢和矫形器（辅助器具）生产装配企业资格认定”由省级人民政府民政部门实施。</w:t>
            </w:r>
          </w:p>
        </w:tc>
        <w:tc>
          <w:tcPr>
            <w:tcW w:w="1417" w:type="dxa"/>
            <w:vAlign w:val="center"/>
          </w:tcPr>
          <w:p>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省民政厅</w:t>
            </w:r>
          </w:p>
        </w:tc>
        <w:tc>
          <w:tcPr>
            <w:tcW w:w="1389" w:type="dxa"/>
            <w:vAlign w:val="center"/>
          </w:tcPr>
          <w:p>
            <w:pPr>
              <w:widowControl/>
              <w:adjustRightInd w:val="0"/>
              <w:spacing w:line="320" w:lineRule="exact"/>
              <w:rPr>
                <w:rFonts w:hint="eastAsia" w:ascii="仿宋_GB2312"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2" w:hRule="atLeast"/>
          <w:jc w:val="center"/>
        </w:trPr>
        <w:tc>
          <w:tcPr>
            <w:tcW w:w="525" w:type="dxa"/>
            <w:vAlign w:val="center"/>
          </w:tcPr>
          <w:p>
            <w:pPr>
              <w:widowControl/>
              <w:adjustRightInd w:val="0"/>
              <w:spacing w:line="400" w:lineRule="exact"/>
              <w:rPr>
                <w:rFonts w:hint="eastAsia" w:ascii="仿宋_GB2312" w:eastAsia="仿宋_GB2312"/>
                <w:color w:val="000000"/>
                <w:sz w:val="28"/>
                <w:szCs w:val="28"/>
              </w:rPr>
            </w:pPr>
            <w:r>
              <w:rPr>
                <w:rFonts w:hint="eastAsia" w:ascii="仿宋_GB2312" w:eastAsia="仿宋_GB2312"/>
                <w:color w:val="000000"/>
                <w:sz w:val="28"/>
                <w:szCs w:val="28"/>
              </w:rPr>
              <w:t>4</w:t>
            </w:r>
          </w:p>
        </w:tc>
        <w:tc>
          <w:tcPr>
            <w:tcW w:w="1293" w:type="dxa"/>
            <w:vAlign w:val="center"/>
          </w:tcPr>
          <w:p>
            <w:pPr>
              <w:widowControl/>
              <w:adjustRightInd w:val="0"/>
              <w:spacing w:line="320" w:lineRule="exact"/>
              <w:jc w:val="center"/>
              <w:rPr>
                <w:rFonts w:hint="eastAsia" w:ascii="仿宋_GB2312" w:eastAsia="仿宋_GB2312"/>
                <w:color w:val="000000"/>
                <w:sz w:val="28"/>
                <w:szCs w:val="28"/>
              </w:rPr>
            </w:pPr>
            <w:r>
              <w:rPr>
                <w:rFonts w:hint="eastAsia" w:ascii="仿宋_GB2312" w:eastAsia="仿宋_GB2312"/>
                <w:color w:val="000000"/>
                <w:sz w:val="28"/>
                <w:szCs w:val="28"/>
              </w:rPr>
              <w:t>进口海洋捕捞渔船渔业船网工具指标申请审  批</w:t>
            </w:r>
          </w:p>
        </w:tc>
        <w:tc>
          <w:tcPr>
            <w:tcW w:w="4536" w:type="dxa"/>
            <w:vAlign w:val="center"/>
          </w:tcPr>
          <w:p>
            <w:pPr>
              <w:widowControl/>
              <w:adjustRightInd w:val="0"/>
              <w:spacing w:line="320" w:lineRule="exact"/>
              <w:ind w:firstLine="280" w:firstLineChars="100"/>
              <w:rPr>
                <w:rFonts w:ascii="仿宋_GB2312" w:eastAsia="仿宋_GB2312"/>
                <w:color w:val="000000"/>
                <w:sz w:val="28"/>
                <w:szCs w:val="28"/>
              </w:rPr>
            </w:pPr>
            <w:r>
              <w:rPr>
                <w:rFonts w:hint="eastAsia" w:ascii="仿宋_GB2312" w:eastAsia="仿宋_GB2312"/>
                <w:color w:val="000000"/>
                <w:sz w:val="28"/>
                <w:szCs w:val="28"/>
              </w:rPr>
              <w:t>《中华人民共和国渔业法》第二十三条第二款：“到中华人民共和国与有关国家缔结的协定确定的共同管理的渔区或者公海从事捕捞作业的捕捞许可证，由国务院渔业行政主管部门批准发放。其他作业的捕捞许可证，由县级以上地方人民政府渔业行政主管部门批准发放；但是，批准发放海洋作业的捕捞许可证不得超过国家下达的船网工具控制指标，具体办法由省、自治区、直辖市人民政府规定。”</w:t>
            </w:r>
          </w:p>
          <w:p>
            <w:pPr>
              <w:widowControl/>
              <w:adjustRightInd w:val="0"/>
              <w:spacing w:line="320" w:lineRule="exact"/>
              <w:ind w:firstLine="280" w:firstLineChars="100"/>
              <w:rPr>
                <w:rFonts w:hint="eastAsia" w:ascii="仿宋_GB2312" w:eastAsia="仿宋_GB2312"/>
                <w:color w:val="000000"/>
                <w:sz w:val="28"/>
                <w:szCs w:val="28"/>
              </w:rPr>
            </w:pPr>
            <w:r>
              <w:rPr>
                <w:rFonts w:hint="eastAsia" w:ascii="仿宋_GB2312" w:eastAsia="仿宋_GB2312"/>
                <w:color w:val="000000"/>
                <w:sz w:val="28"/>
                <w:szCs w:val="28"/>
              </w:rPr>
              <w:t>《中华人民共和国渔业法实施细则》第十五条第三款：“近海大型拖网、围网作业的捕捞许可证，由国务院渔业行政主管部门批准发放；近海其他作业的捕捞许可证，由省、自治区、直辖市人民政府渔业行政主管部门按照国家下达的船网工具控制指标批准发放。”</w:t>
            </w:r>
          </w:p>
        </w:tc>
        <w:tc>
          <w:tcPr>
            <w:tcW w:w="1417" w:type="dxa"/>
            <w:vAlign w:val="center"/>
          </w:tcPr>
          <w:p>
            <w:pPr>
              <w:widowControl/>
              <w:adjustRightInd w:val="0"/>
              <w:spacing w:line="320" w:lineRule="exact"/>
              <w:rPr>
                <w:rFonts w:hint="eastAsia" w:ascii="仿宋_GB2312" w:eastAsia="仿宋_GB2312"/>
                <w:color w:val="000000"/>
                <w:sz w:val="28"/>
                <w:szCs w:val="28"/>
              </w:rPr>
            </w:pPr>
            <w:r>
              <w:rPr>
                <w:rFonts w:hint="eastAsia" w:ascii="仿宋_GB2312" w:eastAsia="仿宋_GB2312"/>
                <w:color w:val="000000"/>
                <w:sz w:val="28"/>
                <w:szCs w:val="28"/>
              </w:rPr>
              <w:t>省</w:t>
            </w:r>
            <w:r>
              <w:rPr>
                <w:rFonts w:ascii="仿宋_GB2312" w:eastAsia="仿宋_GB2312"/>
                <w:color w:val="000000"/>
                <w:sz w:val="28"/>
                <w:szCs w:val="28"/>
              </w:rPr>
              <w:t>海洋与渔业厅</w:t>
            </w:r>
          </w:p>
        </w:tc>
        <w:tc>
          <w:tcPr>
            <w:tcW w:w="1389" w:type="dxa"/>
            <w:vAlign w:val="center"/>
          </w:tcPr>
          <w:p>
            <w:pPr>
              <w:widowControl/>
              <w:adjustRightInd w:val="0"/>
              <w:spacing w:line="380" w:lineRule="exact"/>
              <w:rPr>
                <w:rFonts w:hint="eastAsia" w:ascii="仿宋_GB2312" w:eastAsia="仿宋_GB2312"/>
                <w:color w:val="000000"/>
                <w:sz w:val="28"/>
                <w:szCs w:val="28"/>
              </w:rPr>
            </w:pPr>
            <w:r>
              <w:rPr>
                <w:rFonts w:hint="eastAsia" w:ascii="仿宋_GB2312" w:eastAsia="仿宋_GB2312"/>
                <w:color w:val="000000"/>
                <w:sz w:val="28"/>
                <w:szCs w:val="28"/>
              </w:rPr>
              <w:t>此项为“制造、更新改造、购置、进口海洋捕捞渔船渔业船网工具指标审批”的子项</w:t>
            </w:r>
          </w:p>
        </w:tc>
      </w:tr>
    </w:tbl>
    <w:p>
      <w:pPr>
        <w:spacing w:line="320" w:lineRule="exact"/>
        <w:rPr>
          <w:rFonts w:hint="eastAsia" w:ascii="仿宋_GB2312" w:eastAsia="仿宋_GB2312"/>
          <w:sz w:val="28"/>
          <w:szCs w:val="28"/>
        </w:rPr>
      </w:pPr>
    </w:p>
    <w:p>
      <w:pPr>
        <w:pStyle w:val="6"/>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atLeast"/>
        <w:ind w:left="0" w:leftChars="0" w:right="0" w:rightChars="0" w:firstLine="622"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87" w:bottom="1814" w:left="1588" w:header="851" w:footer="1134" w:gutter="0"/>
      <w:cols w:space="0" w:num="1"/>
      <w:rtlGutter w:val="0"/>
      <w:docGrid w:type="linesAndChars" w:linePitch="585" w:charSpace="7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2010601030101010101"/>
    <w:charset w:val="86"/>
    <w:family w:val="script"/>
    <w:pitch w:val="default"/>
    <w:sig w:usb0="00000001" w:usb1="080E0000" w:usb2="00000000" w:usb3="00000000" w:csb0="00040000" w:csb1="0000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ˎ̥,Verdana,Arial">
    <w:altName w:val="微软雅黑"/>
    <w:panose1 w:val="00000000000000000000"/>
    <w:charset w:val="00"/>
    <w:family w:val="roman"/>
    <w:pitch w:val="default"/>
    <w:sig w:usb0="00000000" w:usb1="00000000" w:usb2="00000000" w:usb3="00000000" w:csb0="00040001" w:csb1="00000000"/>
  </w:font>
  <w:font w:name="方正舒体">
    <w:altName w:val="宋体"/>
    <w:panose1 w:val="02010601030101010101"/>
    <w:charset w:val="86"/>
    <w:family w:val="auto"/>
    <w:pitch w:val="default"/>
    <w:sig w:usb0="00000000" w:usb1="00000000" w:usb2="00000000" w:usb3="00000000" w:csb0="00040000" w:csb1="00000000"/>
  </w:font>
  <w:font w:name="..">
    <w:altName w:val="微软雅黑"/>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altName w:val="仿宋"/>
    <w:panose1 w:val="02010600040101010101"/>
    <w:charset w:val="86"/>
    <w:family w:val="auto"/>
    <w:pitch w:val="default"/>
    <w:sig w:usb0="00000000" w:usb1="0000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Adobe 仿宋 Std R">
    <w:altName w:val="仿宋"/>
    <w:panose1 w:val="02020400000000000000"/>
    <w:charset w:val="86"/>
    <w:family w:val="auto"/>
    <w:pitch w:val="default"/>
    <w:sig w:usb0="00000000" w:usb1="00000000" w:usb2="00000016" w:usb3="00000000" w:csb0="00060007" w:csb1="00000000"/>
  </w:font>
  <w:font w:name="Adobe Myungjo Std M">
    <w:altName w:val="MS PMincho"/>
    <w:panose1 w:val="020206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hakuyoxingshu7000">
    <w:altName w:val="宋体"/>
    <w:panose1 w:val="02000600000000000000"/>
    <w:charset w:val="86"/>
    <w:family w:val="auto"/>
    <w:pitch w:val="default"/>
    <w:sig w:usb0="00000000" w:usb1="00000000" w:usb2="0000003F" w:usb3="00000000" w:csb0="603F00FF" w:csb1="FFFF0000"/>
  </w:font>
  <w:font w:name="MS PMincho">
    <w:panose1 w:val="02020600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微软简标宋">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val="0"/>
      <w:overflowPunct w:val="0"/>
      <w:topLinePunct w:val="0"/>
      <w:autoSpaceDE w:val="0"/>
      <w:autoSpaceDN w:val="0"/>
      <w:bidi w:val="0"/>
      <w:adjustRightInd w:val="0"/>
      <w:snapToGrid w:val="0"/>
      <w:spacing w:line="0" w:lineRule="atLeast"/>
      <w:ind w:left="0" w:leftChars="0" w:right="308" w:rightChars="100" w:firstLine="0" w:firstLineChars="0"/>
      <w:jc w:val="right"/>
      <w:textAlignment w:val="baseline"/>
      <w:outlineLvl w:val="9"/>
      <w:rPr>
        <w:rFonts w:hint="eastAsia" w:ascii="楷体_GB2312" w:eastAsia="楷体_GB2312"/>
        <w:sz w:val="28"/>
      </w:rPr>
    </w:pPr>
    <w:r>
      <w:rPr>
        <w:rStyle w:val="9"/>
        <w:rFonts w:hint="eastAsia" w:ascii="宋体" w:hAnsi="宋体" w:eastAsia="宋体"/>
        <w:sz w:val="28"/>
      </w:rPr>
      <w:t xml:space="preserve">— </w:t>
    </w: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val="0"/>
      <w:topLinePunct w:val="0"/>
      <w:autoSpaceDE w:val="0"/>
      <w:autoSpaceDN w:val="0"/>
      <w:bidi w:val="0"/>
      <w:adjustRightInd w:val="0"/>
      <w:snapToGrid w:val="0"/>
      <w:spacing w:line="0" w:lineRule="atLeast"/>
      <w:ind w:left="308" w:leftChars="100" w:right="0" w:rightChars="0" w:firstLine="0" w:firstLineChars="0"/>
      <w:jc w:val="left"/>
      <w:textAlignment w:val="baseline"/>
      <w:outlineLvl w:val="9"/>
      <w:rPr>
        <w:rStyle w:val="9"/>
        <w:rFonts w:hint="eastAsia" w:ascii="宋体" w:hAnsi="宋体" w:eastAsia="宋体"/>
        <w:sz w:val="28"/>
      </w:rPr>
    </w:pPr>
    <w:r>
      <w:rPr>
        <w:rStyle w:val="9"/>
        <w:rFonts w:hint="eastAsia" w:ascii="宋体" w:hAnsi="宋体" w:eastAsia="宋体"/>
        <w:sz w:val="28"/>
      </w:rPr>
      <w:t xml:space="preserve">— </w:t>
    </w:r>
    <w:r>
      <w:rPr>
        <w:rFonts w:hint="eastAsia" w:ascii="宋体" w:hAnsi="宋体" w:eastAsia="宋体"/>
        <w:sz w:val="28"/>
      </w:rPr>
      <w:fldChar w:fldCharType="begin"/>
    </w:r>
    <w:r>
      <w:rPr>
        <w:rStyle w:val="9"/>
        <w:rFonts w:hint="eastAsia" w:ascii="宋体" w:hAnsi="宋体" w:eastAsia="宋体"/>
        <w:sz w:val="28"/>
      </w:rPr>
      <w:instrText xml:space="preserve"> PAGE </w:instrText>
    </w:r>
    <w:r>
      <w:rPr>
        <w:rFonts w:hint="eastAsia" w:ascii="宋体" w:hAnsi="宋体" w:eastAsia="宋体"/>
        <w:sz w:val="28"/>
      </w:rPr>
      <w:fldChar w:fldCharType="separate"/>
    </w:r>
    <w:r>
      <w:rPr>
        <w:rStyle w:val="9"/>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9"/>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156"/>
  <w:drawingGridVerticalSpacing w:val="293"/>
  <w:displayHorizontalDrawingGridEvery w:val="2"/>
  <w:displayVerticalDrawingGridEvery w:val="2"/>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83478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9C294F"/>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5EA7D47"/>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4A61AB"/>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7C35A2"/>
    <w:rsid w:val="2FA6143A"/>
    <w:rsid w:val="30121809"/>
    <w:rsid w:val="314E6206"/>
    <w:rsid w:val="314F05F8"/>
    <w:rsid w:val="317F2CC2"/>
    <w:rsid w:val="31C76EB8"/>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4F9F594E"/>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2600C4"/>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8B4006"/>
    <w:rsid w:val="77AF566A"/>
    <w:rsid w:val="77C82E43"/>
    <w:rsid w:val="77DA09D5"/>
    <w:rsid w:val="77E6361A"/>
    <w:rsid w:val="77F5035D"/>
    <w:rsid w:val="78A358FC"/>
    <w:rsid w:val="78AF2A76"/>
    <w:rsid w:val="79D23D9B"/>
    <w:rsid w:val="7A7470CE"/>
    <w:rsid w:val="7A804C71"/>
    <w:rsid w:val="7B0D522A"/>
    <w:rsid w:val="7B41375F"/>
    <w:rsid w:val="7B444BD7"/>
    <w:rsid w:val="7BED4CA3"/>
    <w:rsid w:val="7BF05B53"/>
    <w:rsid w:val="7C0503E1"/>
    <w:rsid w:val="7C753AF4"/>
    <w:rsid w:val="7C8936BE"/>
    <w:rsid w:val="7C9267D4"/>
    <w:rsid w:val="7CC23676"/>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qFormat/>
    <w:uiPriority w:val="0"/>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Body Text Indent 3"/>
    <w:basedOn w:val="1"/>
    <w:uiPriority w:val="0"/>
    <w:pPr>
      <w:ind w:firstLine="600"/>
    </w:pPr>
    <w:rPr>
      <w:kern w:val="0"/>
      <w:szCs w:val="30"/>
    </w:rPr>
  </w:style>
  <w:style w:type="paragraph" w:styleId="6">
    <w:name w:val="Normal (Web)"/>
    <w:basedOn w:val="1"/>
    <w:qFormat/>
    <w:uiPriority w:val="0"/>
    <w:rPr>
      <w:sz w:val="24"/>
    </w:rPr>
  </w:style>
  <w:style w:type="character" w:styleId="8">
    <w:name w:val="Strong"/>
    <w:basedOn w:val="7"/>
    <w:qFormat/>
    <w:uiPriority w:val="0"/>
    <w:rPr>
      <w:b/>
    </w:rPr>
  </w:style>
  <w:style w:type="character" w:styleId="9">
    <w:name w:val="page number"/>
    <w:basedOn w:val="7"/>
    <w:qFormat/>
    <w:uiPriority w:val="0"/>
  </w:style>
  <w:style w:type="character" w:styleId="10">
    <w:name w:val="FollowedHyperlink"/>
    <w:basedOn w:val="7"/>
    <w:qFormat/>
    <w:uiPriority w:val="0"/>
    <w:rPr>
      <w:color w:val="800080"/>
      <w:sz w:val="18"/>
      <w:szCs w:val="18"/>
      <w:u w:val="none"/>
    </w:rPr>
  </w:style>
  <w:style w:type="character" w:styleId="11">
    <w:name w:val="line number"/>
    <w:basedOn w:val="7"/>
    <w:qFormat/>
    <w:uiPriority w:val="0"/>
  </w:style>
  <w:style w:type="character" w:styleId="12">
    <w:name w:val="Hyperlink"/>
    <w:basedOn w:val="7"/>
    <w:qFormat/>
    <w:uiPriority w:val="0"/>
    <w:rPr>
      <w:color w:val="0000FF"/>
      <w:sz w:val="18"/>
      <w:szCs w:val="18"/>
      <w:u w:val="none"/>
    </w:rPr>
  </w:style>
  <w:style w:type="paragraph" w:customStyle="1" w:styleId="14">
    <w:name w:val="居中"/>
    <w:basedOn w:val="1"/>
    <w:qFormat/>
    <w:uiPriority w:val="0"/>
    <w:pPr>
      <w:numPr>
        <w:ilvl w:val="0"/>
        <w:numId w:val="1"/>
      </w:numPr>
    </w:pPr>
  </w:style>
  <w:style w:type="paragraph" w:customStyle="1" w:styleId="15">
    <w:name w:val="列出段落"/>
    <w:basedOn w:val="1"/>
    <w:qFormat/>
    <w:uiPriority w:val="0"/>
    <w:pPr>
      <w:ind w:firstLine="420" w:firstLineChars="200"/>
    </w:pPr>
  </w:style>
  <w:style w:type="character" w:customStyle="1" w:styleId="16">
    <w:name w:val="red"/>
    <w:basedOn w:val="7"/>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2017-04-19T08:07:47Z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公文模板版本">
    <vt:lpwstr>20160721</vt:lpwstr>
  </property>
</Properties>
</file>